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800" w:lineRule="exact"/>
        <w:jc w:val="center"/>
        <w:rPr>
          <w:rFonts w:ascii="黑体" w:hAnsi="宋体" w:eastAsia="黑体"/>
          <w:bCs/>
          <w:sz w:val="44"/>
          <w:szCs w:val="44"/>
        </w:rPr>
      </w:pPr>
      <w:r>
        <w:rPr>
          <w:rFonts w:hint="eastAsia" w:ascii="黑体" w:hAnsi="宋体" w:eastAsia="黑体"/>
          <w:bCs/>
          <w:sz w:val="44"/>
          <w:szCs w:val="44"/>
        </w:rPr>
        <w:t>物联亿达信息维护项目</w:t>
      </w:r>
    </w:p>
    <w:p>
      <w:pPr>
        <w:spacing w:line="800" w:lineRule="exact"/>
        <w:jc w:val="center"/>
        <w:rPr>
          <w:rFonts w:ascii="黑体" w:hAnsi="宋体" w:eastAsia="黑体"/>
          <w:bCs/>
          <w:sz w:val="44"/>
          <w:szCs w:val="44"/>
        </w:rPr>
      </w:pPr>
      <w:r>
        <w:rPr>
          <w:rFonts w:hint="eastAsia" w:ascii="黑体" w:hAnsi="宋体" w:eastAsia="黑体"/>
          <w:bCs/>
          <w:sz w:val="44"/>
          <w:szCs w:val="44"/>
        </w:rPr>
        <w:t>项目支出绩效评价报告</w:t>
      </w:r>
    </w:p>
    <w:p>
      <w:pPr>
        <w:spacing w:line="600" w:lineRule="exact"/>
        <w:rPr>
          <w:rFonts w:ascii="Times New Roman" w:hAnsi="Times New Roman"/>
          <w:szCs w:val="32"/>
        </w:rPr>
      </w:pPr>
    </w:p>
    <w:p>
      <w:pPr>
        <w:spacing w:line="600" w:lineRule="exact"/>
        <w:rPr>
          <w:rFonts w:ascii="Times New Roman" w:hAnsi="Times New Roman"/>
          <w:szCs w:val="32"/>
        </w:rPr>
      </w:pPr>
    </w:p>
    <w:p>
      <w:pPr>
        <w:spacing w:line="600" w:lineRule="exact"/>
        <w:rPr>
          <w:rFonts w:ascii="Times New Roman" w:hAnsi="Times New Roman"/>
          <w:szCs w:val="32"/>
        </w:rPr>
      </w:pPr>
    </w:p>
    <w:p>
      <w:pPr>
        <w:spacing w:line="800" w:lineRule="exact"/>
        <w:ind w:firstLine="320" w:firstLineChars="100"/>
        <w:rPr>
          <w:rFonts w:ascii="宋体" w:hAnsi="宋体"/>
          <w:szCs w:val="32"/>
        </w:rPr>
      </w:pPr>
      <w:r>
        <w:rPr>
          <w:rFonts w:hint="eastAsia" w:ascii="宋体" w:hAnsi="宋体"/>
          <w:szCs w:val="32"/>
        </w:rPr>
        <w:t xml:space="preserve">项目名称：物联亿达信息维护项目        </w:t>
      </w:r>
    </w:p>
    <w:p>
      <w:pPr>
        <w:spacing w:line="800" w:lineRule="exact"/>
        <w:ind w:left="1920" w:leftChars="100" w:hanging="1600" w:hangingChars="500"/>
        <w:rPr>
          <w:rFonts w:ascii="宋体" w:hAnsi="宋体"/>
          <w:szCs w:val="32"/>
        </w:rPr>
      </w:pPr>
      <w:r>
        <w:rPr>
          <w:rFonts w:hint="eastAsia" w:ascii="宋体" w:hAnsi="宋体"/>
          <w:szCs w:val="32"/>
        </w:rPr>
        <w:t>项目单位：四川遂宁高新技术产业园区管理委员会</w:t>
      </w:r>
    </w:p>
    <w:p>
      <w:pPr>
        <w:spacing w:line="800" w:lineRule="exact"/>
        <w:ind w:left="1920" w:leftChars="600"/>
        <w:rPr>
          <w:rFonts w:ascii="宋体" w:hAnsi="宋体"/>
          <w:szCs w:val="32"/>
        </w:rPr>
      </w:pPr>
      <w:r>
        <w:rPr>
          <w:rFonts w:hint="eastAsia" w:ascii="宋体" w:hAnsi="宋体"/>
          <w:szCs w:val="32"/>
        </w:rPr>
        <w:t xml:space="preserve">科技创新与经济发展局                   </w:t>
      </w:r>
    </w:p>
    <w:p>
      <w:pPr>
        <w:spacing w:line="800" w:lineRule="exact"/>
        <w:ind w:firstLine="320" w:firstLineChars="100"/>
        <w:rPr>
          <w:rFonts w:ascii="宋体" w:hAnsi="宋体"/>
          <w:szCs w:val="32"/>
        </w:rPr>
      </w:pPr>
      <w:r>
        <w:rPr>
          <w:rFonts w:hint="eastAsia" w:ascii="宋体" w:hAnsi="宋体"/>
          <w:szCs w:val="32"/>
        </w:rPr>
        <w:t xml:space="preserve">委托单位：遂宁高新区财政金融局  </w:t>
      </w:r>
      <w:r>
        <w:rPr>
          <w:rFonts w:ascii="宋体" w:hAnsi="宋体"/>
          <w:szCs w:val="32"/>
        </w:rPr>
        <w:t xml:space="preserve">  </w:t>
      </w:r>
      <w:r>
        <w:rPr>
          <w:rFonts w:hint="eastAsia" w:ascii="宋体" w:hAnsi="宋体"/>
          <w:szCs w:val="32"/>
        </w:rPr>
        <w:t xml:space="preserve">  </w:t>
      </w:r>
    </w:p>
    <w:p>
      <w:pPr>
        <w:spacing w:line="800" w:lineRule="exact"/>
        <w:ind w:firstLine="320" w:firstLineChars="100"/>
        <w:rPr>
          <w:rFonts w:ascii="宋体" w:hAnsi="宋体"/>
          <w:szCs w:val="32"/>
        </w:rPr>
      </w:pPr>
      <w:r>
        <w:rPr>
          <w:rFonts w:hint="eastAsia" w:ascii="宋体" w:hAnsi="宋体"/>
          <w:szCs w:val="32"/>
        </w:rPr>
        <w:t xml:space="preserve">评价机构：遂宁市备至实业有限公司                            </w:t>
      </w:r>
    </w:p>
    <w:p>
      <w:pPr>
        <w:spacing w:line="800" w:lineRule="exact"/>
        <w:ind w:firstLine="320" w:firstLineChars="100"/>
        <w:rPr>
          <w:rFonts w:ascii="宋体" w:hAnsi="宋体"/>
          <w:szCs w:val="32"/>
        </w:rPr>
      </w:pPr>
      <w:r>
        <w:rPr>
          <w:rFonts w:hint="eastAsia" w:ascii="宋体" w:hAnsi="宋体"/>
          <w:szCs w:val="32"/>
        </w:rPr>
        <w:t>评价类型  事前评价□   事中评价□     事后评价√</w:t>
      </w:r>
    </w:p>
    <w:p>
      <w:pPr>
        <w:spacing w:line="800" w:lineRule="exact"/>
        <w:ind w:firstLine="320" w:firstLineChars="100"/>
        <w:rPr>
          <w:rFonts w:ascii="宋体" w:hAnsi="宋体"/>
          <w:szCs w:val="32"/>
        </w:rPr>
      </w:pPr>
      <w:r>
        <w:rPr>
          <w:rFonts w:hint="eastAsia" w:ascii="宋体" w:hAnsi="宋体"/>
          <w:szCs w:val="32"/>
        </w:rPr>
        <w:t xml:space="preserve">评价方式：部门（单位）自评□  </w:t>
      </w:r>
      <w:r>
        <w:rPr>
          <w:rFonts w:ascii="宋体" w:hAnsi="宋体"/>
          <w:szCs w:val="32"/>
        </w:rPr>
        <w:t xml:space="preserve"> </w:t>
      </w:r>
      <w:r>
        <w:rPr>
          <w:rFonts w:hint="eastAsia" w:ascii="宋体" w:hAnsi="宋体"/>
          <w:szCs w:val="32"/>
        </w:rPr>
        <w:t>财政部门组织评价√</w:t>
      </w:r>
    </w:p>
    <w:p>
      <w:pPr>
        <w:spacing w:line="800" w:lineRule="exact"/>
        <w:ind w:firstLine="320" w:firstLineChars="100"/>
        <w:rPr>
          <w:rFonts w:ascii="宋体" w:hAnsi="宋体"/>
          <w:szCs w:val="32"/>
        </w:rPr>
      </w:pPr>
      <w:r>
        <w:rPr>
          <w:rFonts w:hint="eastAsia" w:ascii="宋体" w:hAnsi="宋体"/>
          <w:szCs w:val="32"/>
        </w:rPr>
        <w:t>撰 稿 人：潘佳丽    复审人：陈成   终审人：肖清华</w:t>
      </w:r>
    </w:p>
    <w:p>
      <w:pPr>
        <w:spacing w:line="600" w:lineRule="exact"/>
        <w:rPr>
          <w:rFonts w:ascii="Times New Roman" w:hAnsi="Times New Roman"/>
          <w:szCs w:val="32"/>
        </w:rPr>
      </w:pPr>
    </w:p>
    <w:p>
      <w:pPr>
        <w:spacing w:line="600" w:lineRule="exact"/>
        <w:rPr>
          <w:rFonts w:ascii="Times New Roman" w:hAnsi="Times New Roman"/>
          <w:szCs w:val="32"/>
        </w:rPr>
      </w:pPr>
    </w:p>
    <w:p>
      <w:pPr>
        <w:spacing w:line="600" w:lineRule="exact"/>
        <w:rPr>
          <w:rFonts w:ascii="Times New Roman" w:hAnsi="Times New Roman"/>
          <w:szCs w:val="32"/>
        </w:rPr>
      </w:pPr>
    </w:p>
    <w:p>
      <w:pPr>
        <w:spacing w:line="600" w:lineRule="exact"/>
        <w:rPr>
          <w:rFonts w:ascii="Times New Roman" w:hAnsi="Times New Roman"/>
          <w:szCs w:val="32"/>
        </w:rPr>
      </w:pPr>
    </w:p>
    <w:p>
      <w:pPr>
        <w:spacing w:line="600" w:lineRule="exact"/>
        <w:jc w:val="center"/>
        <w:rPr>
          <w:rFonts w:ascii="Times New Roman" w:hAnsi="Times New Roman"/>
          <w:szCs w:val="32"/>
        </w:rPr>
      </w:pPr>
      <w:r>
        <w:rPr>
          <w:rFonts w:hint="eastAsia" w:ascii="Times New Roman" w:hAnsi="Times New Roman"/>
          <w:szCs w:val="32"/>
        </w:rPr>
        <w:t>2020年10月</w:t>
      </w:r>
    </w:p>
    <w:p>
      <w:pPr>
        <w:spacing w:line="600" w:lineRule="exact"/>
        <w:jc w:val="center"/>
        <w:rPr>
          <w:rFonts w:ascii="Times New Roman" w:hAnsi="Times New Roman"/>
          <w:szCs w:val="32"/>
          <w:lang w:val="zh-CN"/>
        </w:rPr>
        <w:sectPr>
          <w:footerReference r:id="rId5" w:type="first"/>
          <w:pgSz w:w="11906" w:h="16838"/>
          <w:pgMar w:top="1440" w:right="1800" w:bottom="1440" w:left="1800" w:header="851" w:footer="992" w:gutter="0"/>
          <w:cols w:space="425" w:num="1"/>
          <w:titlePg/>
          <w:docGrid w:type="lines" w:linePitch="312" w:charSpace="0"/>
        </w:sectPr>
      </w:pPr>
    </w:p>
    <w:sdt>
      <w:sdtPr>
        <w:rPr>
          <w:rFonts w:hint="eastAsia" w:ascii="黑体" w:hAnsi="黑体" w:eastAsia="黑体" w:cs="楷体_GB2312"/>
          <w:b/>
          <w:bCs/>
          <w:kern w:val="0"/>
          <w:sz w:val="22"/>
          <w:szCs w:val="32"/>
          <w:lang w:val="zh-CN"/>
        </w:rPr>
        <w:id w:val="405498760"/>
        <w:docPartObj>
          <w:docPartGallery w:val="Table of Contents"/>
          <w:docPartUnique/>
        </w:docPartObj>
      </w:sdtPr>
      <w:sdtEndPr>
        <w:rPr>
          <w:rFonts w:hint="eastAsia" w:ascii="Calibri" w:hAnsi="Calibri" w:eastAsia="仿宋_GB2312" w:cs="Times New Roman"/>
          <w:b/>
          <w:bCs/>
          <w:kern w:val="2"/>
          <w:sz w:val="22"/>
          <w:szCs w:val="24"/>
          <w:lang w:val="zh-CN"/>
        </w:rPr>
      </w:sdtEndPr>
      <w:sdtContent>
        <w:p>
          <w:pPr>
            <w:jc w:val="center"/>
            <w:rPr>
              <w:rFonts w:ascii="黑体" w:hAnsi="黑体" w:eastAsia="黑体" w:cs="楷体_GB2312"/>
              <w:b/>
              <w:bCs/>
              <w:szCs w:val="32"/>
            </w:rPr>
          </w:pPr>
          <w:r>
            <w:rPr>
              <w:rFonts w:hint="eastAsia" w:ascii="黑体" w:hAnsi="黑体" w:eastAsia="黑体" w:cs="楷体_GB2312"/>
              <w:b/>
              <w:bCs/>
              <w:szCs w:val="32"/>
              <w:lang w:val="zh-CN"/>
            </w:rPr>
            <w:t>目   录</w:t>
          </w:r>
        </w:p>
        <w:p>
          <w:pPr>
            <w:pStyle w:val="10"/>
            <w:tabs>
              <w:tab w:val="right" w:leader="dot" w:pos="8290"/>
            </w:tabs>
            <w:rPr>
              <w:rFonts w:cstheme="minorBidi"/>
              <w:kern w:val="2"/>
              <w:sz w:val="28"/>
              <w:szCs w:val="28"/>
            </w:rPr>
          </w:pPr>
          <w:r>
            <w:rPr>
              <w:sz w:val="28"/>
              <w:szCs w:val="28"/>
            </w:rPr>
            <w:fldChar w:fldCharType="begin"/>
          </w:r>
          <w:r>
            <w:rPr>
              <w:sz w:val="28"/>
              <w:szCs w:val="28"/>
            </w:rPr>
            <w:instrText xml:space="preserve"> TOC \o "1-3" \h \z \u </w:instrText>
          </w:r>
          <w:r>
            <w:rPr>
              <w:sz w:val="28"/>
              <w:szCs w:val="28"/>
            </w:rPr>
            <w:fldChar w:fldCharType="separate"/>
          </w:r>
          <w:r>
            <w:fldChar w:fldCharType="begin"/>
          </w:r>
          <w:r>
            <w:instrText xml:space="preserve"> HYPERLINK \l "_Toc56703368" </w:instrText>
          </w:r>
          <w:r>
            <w:fldChar w:fldCharType="separate"/>
          </w:r>
          <w:r>
            <w:rPr>
              <w:rStyle w:val="15"/>
              <w:rFonts w:ascii="黑体" w:hAnsi="黑体" w:eastAsia="黑体"/>
              <w:sz w:val="28"/>
              <w:szCs w:val="28"/>
            </w:rPr>
            <w:t>前言：</w:t>
          </w:r>
          <w:r>
            <w:rPr>
              <w:sz w:val="28"/>
              <w:szCs w:val="28"/>
            </w:rPr>
            <w:tab/>
          </w:r>
          <w:r>
            <w:rPr>
              <w:sz w:val="28"/>
              <w:szCs w:val="28"/>
            </w:rPr>
            <w:fldChar w:fldCharType="begin"/>
          </w:r>
          <w:r>
            <w:rPr>
              <w:sz w:val="28"/>
              <w:szCs w:val="28"/>
            </w:rPr>
            <w:instrText xml:space="preserve"> PAGEREF _Toc56703368 \h </w:instrText>
          </w:r>
          <w:r>
            <w:rPr>
              <w:sz w:val="28"/>
              <w:szCs w:val="28"/>
            </w:rPr>
            <w:fldChar w:fldCharType="separate"/>
          </w:r>
          <w:r>
            <w:rPr>
              <w:sz w:val="28"/>
              <w:szCs w:val="28"/>
            </w:rPr>
            <w:t>4</w:t>
          </w:r>
          <w:r>
            <w:rPr>
              <w:sz w:val="28"/>
              <w:szCs w:val="28"/>
            </w:rPr>
            <w:fldChar w:fldCharType="end"/>
          </w:r>
          <w:r>
            <w:rPr>
              <w:sz w:val="28"/>
              <w:szCs w:val="28"/>
            </w:rPr>
            <w:fldChar w:fldCharType="end"/>
          </w:r>
        </w:p>
        <w:p>
          <w:pPr>
            <w:pStyle w:val="10"/>
            <w:tabs>
              <w:tab w:val="right" w:leader="dot" w:pos="8290"/>
            </w:tabs>
            <w:rPr>
              <w:rFonts w:cstheme="minorBidi"/>
              <w:kern w:val="2"/>
              <w:sz w:val="28"/>
              <w:szCs w:val="28"/>
            </w:rPr>
          </w:pPr>
          <w:r>
            <w:fldChar w:fldCharType="begin"/>
          </w:r>
          <w:r>
            <w:instrText xml:space="preserve"> HYPERLINK \l "_Toc56703369" </w:instrText>
          </w:r>
          <w:r>
            <w:fldChar w:fldCharType="separate"/>
          </w:r>
          <w:r>
            <w:rPr>
              <w:rStyle w:val="15"/>
              <w:rFonts w:ascii="黑体" w:hAnsi="黑体" w:eastAsia="黑体"/>
              <w:sz w:val="28"/>
              <w:szCs w:val="28"/>
            </w:rPr>
            <w:t>一、项目基本情况</w:t>
          </w:r>
          <w:r>
            <w:rPr>
              <w:sz w:val="28"/>
              <w:szCs w:val="28"/>
            </w:rPr>
            <w:tab/>
          </w:r>
          <w:r>
            <w:rPr>
              <w:sz w:val="28"/>
              <w:szCs w:val="28"/>
            </w:rPr>
            <w:fldChar w:fldCharType="begin"/>
          </w:r>
          <w:r>
            <w:rPr>
              <w:sz w:val="28"/>
              <w:szCs w:val="28"/>
            </w:rPr>
            <w:instrText xml:space="preserve"> PAGEREF _Toc56703369 \h </w:instrText>
          </w:r>
          <w:r>
            <w:rPr>
              <w:sz w:val="28"/>
              <w:szCs w:val="28"/>
            </w:rPr>
            <w:fldChar w:fldCharType="separate"/>
          </w:r>
          <w:r>
            <w:rPr>
              <w:sz w:val="28"/>
              <w:szCs w:val="28"/>
            </w:rPr>
            <w:t>5</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"_Toc56703370" </w:instrText>
          </w:r>
          <w:r>
            <w:fldChar w:fldCharType="separate"/>
          </w:r>
          <w:r>
            <w:rPr>
              <w:rStyle w:val="15"/>
              <w:rFonts w:ascii="楷体_GB2312" w:eastAsia="楷体_GB2312"/>
              <w:sz w:val="28"/>
              <w:szCs w:val="28"/>
            </w:rPr>
            <w:t>（一）</w:t>
          </w:r>
          <w:r>
            <w:rPr>
              <w:rStyle w:val="15"/>
              <w:rFonts w:ascii="楷体_GB2312" w:eastAsia="楷体_GB2312"/>
              <w:sz w:val="28"/>
              <w:szCs w:val="28"/>
              <w:lang w:eastAsia="zh-Hans"/>
            </w:rPr>
            <w:t>项目立项</w:t>
          </w:r>
          <w:r>
            <w:rPr>
              <w:rStyle w:val="15"/>
              <w:rFonts w:ascii="楷体_GB2312" w:eastAsia="楷体_GB2312"/>
              <w:sz w:val="28"/>
              <w:szCs w:val="28"/>
            </w:rPr>
            <w:t>与批复情况</w:t>
          </w:r>
          <w:r>
            <w:rPr>
              <w:sz w:val="28"/>
              <w:szCs w:val="28"/>
            </w:rPr>
            <w:tab/>
          </w:r>
          <w:r>
            <w:rPr>
              <w:sz w:val="28"/>
              <w:szCs w:val="28"/>
            </w:rPr>
            <w:fldChar w:fldCharType="begin"/>
          </w:r>
          <w:r>
            <w:rPr>
              <w:sz w:val="28"/>
              <w:szCs w:val="28"/>
            </w:rPr>
            <w:instrText xml:space="preserve"> PAGEREF _Toc56703370 \h </w:instrText>
          </w:r>
          <w:r>
            <w:rPr>
              <w:sz w:val="28"/>
              <w:szCs w:val="28"/>
            </w:rPr>
            <w:fldChar w:fldCharType="separate"/>
          </w:r>
          <w:r>
            <w:rPr>
              <w:sz w:val="28"/>
              <w:szCs w:val="28"/>
            </w:rPr>
            <w:t>5</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"_Toc56703371" </w:instrText>
          </w:r>
          <w:r>
            <w:fldChar w:fldCharType="separate"/>
          </w:r>
          <w:r>
            <w:rPr>
              <w:rStyle w:val="15"/>
              <w:rFonts w:ascii="楷体_GB2312" w:eastAsia="楷体_GB2312"/>
              <w:sz w:val="28"/>
              <w:szCs w:val="28"/>
            </w:rPr>
            <w:t>（二）</w:t>
          </w:r>
          <w:r>
            <w:rPr>
              <w:rStyle w:val="15"/>
              <w:rFonts w:ascii="楷体_GB2312" w:eastAsia="楷体_GB2312"/>
              <w:sz w:val="28"/>
              <w:szCs w:val="28"/>
              <w:lang w:eastAsia="zh-Hans"/>
            </w:rPr>
            <w:t>项目实施情况</w:t>
          </w:r>
          <w:r>
            <w:rPr>
              <w:sz w:val="28"/>
              <w:szCs w:val="28"/>
            </w:rPr>
            <w:tab/>
          </w:r>
          <w:r>
            <w:rPr>
              <w:sz w:val="28"/>
              <w:szCs w:val="28"/>
            </w:rPr>
            <w:fldChar w:fldCharType="begin"/>
          </w:r>
          <w:r>
            <w:rPr>
              <w:sz w:val="28"/>
              <w:szCs w:val="28"/>
            </w:rPr>
            <w:instrText xml:space="preserve"> PAGEREF _Toc56703371 \h </w:instrText>
          </w:r>
          <w:r>
            <w:rPr>
              <w:sz w:val="28"/>
              <w:szCs w:val="28"/>
            </w:rPr>
            <w:fldChar w:fldCharType="separate"/>
          </w:r>
          <w:r>
            <w:rPr>
              <w:sz w:val="28"/>
              <w:szCs w:val="28"/>
            </w:rPr>
            <w:t>5</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"_Toc56703372" </w:instrText>
          </w:r>
          <w:r>
            <w:fldChar w:fldCharType="separate"/>
          </w:r>
          <w:r>
            <w:rPr>
              <w:rStyle w:val="15"/>
              <w:rFonts w:ascii="楷体_GB2312" w:eastAsia="楷体_GB2312"/>
              <w:sz w:val="28"/>
              <w:szCs w:val="28"/>
              <w:lang w:eastAsia="zh-Hans"/>
            </w:rPr>
            <w:t>（三）</w:t>
          </w:r>
          <w:r>
            <w:rPr>
              <w:rStyle w:val="15"/>
              <w:rFonts w:ascii="楷体_GB2312" w:eastAsia="楷体_GB2312"/>
              <w:sz w:val="28"/>
              <w:szCs w:val="28"/>
            </w:rPr>
            <w:t>项目资金</w:t>
          </w:r>
          <w:r>
            <w:rPr>
              <w:rStyle w:val="15"/>
              <w:rFonts w:ascii="楷体_GB2312" w:eastAsia="楷体_GB2312"/>
              <w:sz w:val="28"/>
              <w:szCs w:val="28"/>
              <w:lang w:eastAsia="zh-Hans"/>
            </w:rPr>
            <w:t>来源和使用情况</w:t>
          </w:r>
          <w:r>
            <w:rPr>
              <w:sz w:val="28"/>
              <w:szCs w:val="28"/>
            </w:rPr>
            <w:tab/>
          </w:r>
          <w:r>
            <w:rPr>
              <w:sz w:val="28"/>
              <w:szCs w:val="28"/>
            </w:rPr>
            <w:fldChar w:fldCharType="begin"/>
          </w:r>
          <w:r>
            <w:rPr>
              <w:sz w:val="28"/>
              <w:szCs w:val="28"/>
            </w:rPr>
            <w:instrText xml:space="preserve"> PAGEREF _Toc56703372 \h </w:instrText>
          </w:r>
          <w:r>
            <w:rPr>
              <w:sz w:val="28"/>
              <w:szCs w:val="28"/>
            </w:rPr>
            <w:fldChar w:fldCharType="separate"/>
          </w:r>
          <w:r>
            <w:rPr>
              <w:sz w:val="28"/>
              <w:szCs w:val="28"/>
            </w:rPr>
            <w:t>5</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"_Toc56703373" </w:instrText>
          </w:r>
          <w:r>
            <w:fldChar w:fldCharType="separate"/>
          </w:r>
          <w:r>
            <w:rPr>
              <w:rStyle w:val="15"/>
              <w:rFonts w:ascii="仿宋_GB2312"/>
              <w:sz w:val="28"/>
              <w:szCs w:val="28"/>
            </w:rPr>
            <w:t>1.项目资金来源</w:t>
          </w:r>
          <w:r>
            <w:rPr>
              <w:sz w:val="28"/>
              <w:szCs w:val="28"/>
            </w:rPr>
            <w:tab/>
          </w:r>
          <w:r>
            <w:rPr>
              <w:sz w:val="28"/>
              <w:szCs w:val="28"/>
            </w:rPr>
            <w:fldChar w:fldCharType="begin"/>
          </w:r>
          <w:r>
            <w:rPr>
              <w:sz w:val="28"/>
              <w:szCs w:val="28"/>
            </w:rPr>
            <w:instrText xml:space="preserve"> PAGEREF _Toc56703373 \h </w:instrText>
          </w:r>
          <w:r>
            <w:rPr>
              <w:sz w:val="28"/>
              <w:szCs w:val="28"/>
            </w:rPr>
            <w:fldChar w:fldCharType="separate"/>
          </w:r>
          <w:r>
            <w:rPr>
              <w:sz w:val="28"/>
              <w:szCs w:val="28"/>
            </w:rPr>
            <w:t>5</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"_Toc56703374" </w:instrText>
          </w:r>
          <w:r>
            <w:fldChar w:fldCharType="separate"/>
          </w:r>
          <w:r>
            <w:rPr>
              <w:rStyle w:val="15"/>
              <w:rFonts w:ascii="仿宋_GB2312"/>
              <w:sz w:val="28"/>
              <w:szCs w:val="28"/>
            </w:rPr>
            <w:t>2.项目资金使用情况</w:t>
          </w:r>
          <w:r>
            <w:rPr>
              <w:sz w:val="28"/>
              <w:szCs w:val="28"/>
            </w:rPr>
            <w:tab/>
          </w:r>
          <w:r>
            <w:rPr>
              <w:sz w:val="28"/>
              <w:szCs w:val="28"/>
            </w:rPr>
            <w:fldChar w:fldCharType="begin"/>
          </w:r>
          <w:r>
            <w:rPr>
              <w:sz w:val="28"/>
              <w:szCs w:val="28"/>
            </w:rPr>
            <w:instrText xml:space="preserve"> PAGEREF _Toc56703374 \h </w:instrText>
          </w:r>
          <w:r>
            <w:rPr>
              <w:sz w:val="28"/>
              <w:szCs w:val="28"/>
            </w:rPr>
            <w:fldChar w:fldCharType="separate"/>
          </w:r>
          <w:r>
            <w:rPr>
              <w:sz w:val="28"/>
              <w:szCs w:val="28"/>
            </w:rPr>
            <w:t>6</w:t>
          </w:r>
          <w:r>
            <w:rPr>
              <w:sz w:val="28"/>
              <w:szCs w:val="28"/>
            </w:rPr>
            <w:fldChar w:fldCharType="end"/>
          </w:r>
          <w:r>
            <w:rPr>
              <w:sz w:val="28"/>
              <w:szCs w:val="28"/>
            </w:rPr>
            <w:fldChar w:fldCharType="end"/>
          </w:r>
        </w:p>
        <w:p>
          <w:pPr>
            <w:pStyle w:val="10"/>
            <w:tabs>
              <w:tab w:val="right" w:leader="dot" w:pos="8290"/>
            </w:tabs>
            <w:rPr>
              <w:rFonts w:cstheme="minorBidi"/>
              <w:kern w:val="2"/>
              <w:sz w:val="28"/>
              <w:szCs w:val="28"/>
            </w:rPr>
          </w:pPr>
          <w:r>
            <w:fldChar w:fldCharType="begin"/>
          </w:r>
          <w:r>
            <w:instrText xml:space="preserve"> HYPERLINK \l "_Toc56703375" </w:instrText>
          </w:r>
          <w:r>
            <w:fldChar w:fldCharType="separate"/>
          </w:r>
          <w:r>
            <w:rPr>
              <w:rStyle w:val="15"/>
              <w:rFonts w:ascii="黑体" w:hAnsi="黑体" w:eastAsia="黑体"/>
              <w:sz w:val="28"/>
              <w:szCs w:val="28"/>
            </w:rPr>
            <w:t>二、评价工作开展情况</w:t>
          </w:r>
          <w:r>
            <w:rPr>
              <w:sz w:val="28"/>
              <w:szCs w:val="28"/>
            </w:rPr>
            <w:tab/>
          </w:r>
          <w:r>
            <w:rPr>
              <w:sz w:val="28"/>
              <w:szCs w:val="28"/>
            </w:rPr>
            <w:fldChar w:fldCharType="begin"/>
          </w:r>
          <w:r>
            <w:rPr>
              <w:sz w:val="28"/>
              <w:szCs w:val="28"/>
            </w:rPr>
            <w:instrText xml:space="preserve"> PAGEREF _Toc56703375 \h </w:instrText>
          </w:r>
          <w:r>
            <w:rPr>
              <w:sz w:val="28"/>
              <w:szCs w:val="28"/>
            </w:rPr>
            <w:fldChar w:fldCharType="separate"/>
          </w:r>
          <w:r>
            <w:rPr>
              <w:sz w:val="28"/>
              <w:szCs w:val="28"/>
            </w:rPr>
            <w:t>6</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"_Toc56703376" </w:instrText>
          </w:r>
          <w:r>
            <w:fldChar w:fldCharType="separate"/>
          </w:r>
          <w:r>
            <w:rPr>
              <w:rStyle w:val="15"/>
              <w:rFonts w:ascii="楷体_GB2312" w:eastAsia="楷体_GB2312"/>
              <w:sz w:val="28"/>
              <w:szCs w:val="28"/>
              <w:lang w:eastAsia="zh-Hans"/>
            </w:rPr>
            <w:t>（一）绩效评价目的</w:t>
          </w:r>
          <w:r>
            <w:rPr>
              <w:sz w:val="28"/>
              <w:szCs w:val="28"/>
            </w:rPr>
            <w:tab/>
          </w:r>
          <w:r>
            <w:rPr>
              <w:sz w:val="28"/>
              <w:szCs w:val="28"/>
            </w:rPr>
            <w:fldChar w:fldCharType="begin"/>
          </w:r>
          <w:r>
            <w:rPr>
              <w:sz w:val="28"/>
              <w:szCs w:val="28"/>
            </w:rPr>
            <w:instrText xml:space="preserve"> PAGEREF _Toc56703376 \h </w:instrText>
          </w:r>
          <w:r>
            <w:rPr>
              <w:sz w:val="28"/>
              <w:szCs w:val="28"/>
            </w:rPr>
            <w:fldChar w:fldCharType="separate"/>
          </w:r>
          <w:r>
            <w:rPr>
              <w:sz w:val="28"/>
              <w:szCs w:val="28"/>
            </w:rPr>
            <w:t>6</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"_Toc56703377" </w:instrText>
          </w:r>
          <w:r>
            <w:fldChar w:fldCharType="separate"/>
          </w:r>
          <w:r>
            <w:rPr>
              <w:rStyle w:val="15"/>
              <w:rFonts w:ascii="楷体_GB2312" w:eastAsia="楷体_GB2312"/>
              <w:sz w:val="28"/>
              <w:szCs w:val="28"/>
            </w:rPr>
            <w:t>（二）</w:t>
          </w:r>
          <w:r>
            <w:rPr>
              <w:rStyle w:val="15"/>
              <w:rFonts w:ascii="楷体_GB2312" w:eastAsia="楷体_GB2312"/>
              <w:sz w:val="28"/>
              <w:szCs w:val="28"/>
              <w:lang w:eastAsia="zh-Hans"/>
            </w:rPr>
            <w:t>绩效评价</w:t>
          </w:r>
          <w:r>
            <w:rPr>
              <w:rStyle w:val="15"/>
              <w:rFonts w:ascii="楷体_GB2312" w:eastAsia="楷体_GB2312"/>
              <w:sz w:val="28"/>
              <w:szCs w:val="28"/>
            </w:rPr>
            <w:t>依据</w:t>
          </w:r>
          <w:r>
            <w:rPr>
              <w:sz w:val="28"/>
              <w:szCs w:val="28"/>
            </w:rPr>
            <w:tab/>
          </w:r>
          <w:r>
            <w:rPr>
              <w:sz w:val="28"/>
              <w:szCs w:val="28"/>
            </w:rPr>
            <w:fldChar w:fldCharType="begin"/>
          </w:r>
          <w:r>
            <w:rPr>
              <w:sz w:val="28"/>
              <w:szCs w:val="28"/>
            </w:rPr>
            <w:instrText xml:space="preserve"> PAGEREF _Toc56703377 \h </w:instrText>
          </w:r>
          <w:r>
            <w:rPr>
              <w:sz w:val="28"/>
              <w:szCs w:val="28"/>
            </w:rPr>
            <w:fldChar w:fldCharType="separate"/>
          </w:r>
          <w:r>
            <w:rPr>
              <w:sz w:val="28"/>
              <w:szCs w:val="28"/>
            </w:rPr>
            <w:t>6</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"_Toc56703378" </w:instrText>
          </w:r>
          <w:r>
            <w:fldChar w:fldCharType="separate"/>
          </w:r>
          <w:r>
            <w:rPr>
              <w:rStyle w:val="15"/>
              <w:rFonts w:ascii="楷体_GB2312" w:eastAsia="楷体_GB2312"/>
              <w:sz w:val="28"/>
              <w:szCs w:val="28"/>
            </w:rPr>
            <w:t>（三）现场评价抽样选点情况</w:t>
          </w:r>
          <w:r>
            <w:rPr>
              <w:sz w:val="28"/>
              <w:szCs w:val="28"/>
            </w:rPr>
            <w:tab/>
          </w:r>
          <w:r>
            <w:rPr>
              <w:sz w:val="28"/>
              <w:szCs w:val="28"/>
            </w:rPr>
            <w:fldChar w:fldCharType="begin"/>
          </w:r>
          <w:r>
            <w:rPr>
              <w:sz w:val="28"/>
              <w:szCs w:val="28"/>
            </w:rPr>
            <w:instrText xml:space="preserve"> PAGEREF _Toc56703378 \h </w:instrText>
          </w:r>
          <w:r>
            <w:rPr>
              <w:sz w:val="28"/>
              <w:szCs w:val="28"/>
            </w:rPr>
            <w:fldChar w:fldCharType="separate"/>
          </w:r>
          <w:r>
            <w:rPr>
              <w:sz w:val="28"/>
              <w:szCs w:val="28"/>
            </w:rPr>
            <w:t>7</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"_Toc56703379" </w:instrText>
          </w:r>
          <w:r>
            <w:fldChar w:fldCharType="separate"/>
          </w:r>
          <w:r>
            <w:rPr>
              <w:rStyle w:val="15"/>
              <w:rFonts w:ascii="楷体_GB2312" w:eastAsia="楷体_GB2312"/>
              <w:sz w:val="28"/>
              <w:szCs w:val="28"/>
            </w:rPr>
            <w:t>（四）数据采集方法及过程</w:t>
          </w:r>
          <w:r>
            <w:rPr>
              <w:sz w:val="28"/>
              <w:szCs w:val="28"/>
            </w:rPr>
            <w:tab/>
          </w:r>
          <w:r>
            <w:rPr>
              <w:sz w:val="28"/>
              <w:szCs w:val="28"/>
            </w:rPr>
            <w:fldChar w:fldCharType="begin"/>
          </w:r>
          <w:r>
            <w:rPr>
              <w:sz w:val="28"/>
              <w:szCs w:val="28"/>
            </w:rPr>
            <w:instrText xml:space="preserve"> PAGEREF _Toc56703379 \h </w:instrText>
          </w:r>
          <w:r>
            <w:rPr>
              <w:sz w:val="28"/>
              <w:szCs w:val="28"/>
            </w:rPr>
            <w:fldChar w:fldCharType="separate"/>
          </w:r>
          <w:r>
            <w:rPr>
              <w:sz w:val="28"/>
              <w:szCs w:val="28"/>
            </w:rPr>
            <w:t>7</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"_Toc56703380" </w:instrText>
          </w:r>
          <w:r>
            <w:fldChar w:fldCharType="separate"/>
          </w:r>
          <w:r>
            <w:rPr>
              <w:rStyle w:val="15"/>
              <w:rFonts w:ascii="仿宋_GB2312"/>
              <w:sz w:val="28"/>
              <w:szCs w:val="28"/>
            </w:rPr>
            <w:t>1.访谈</w:t>
          </w:r>
          <w:r>
            <w:rPr>
              <w:sz w:val="28"/>
              <w:szCs w:val="28"/>
            </w:rPr>
            <w:tab/>
          </w:r>
          <w:r>
            <w:rPr>
              <w:sz w:val="28"/>
              <w:szCs w:val="28"/>
            </w:rPr>
            <w:fldChar w:fldCharType="begin"/>
          </w:r>
          <w:r>
            <w:rPr>
              <w:sz w:val="28"/>
              <w:szCs w:val="28"/>
            </w:rPr>
            <w:instrText xml:space="preserve"> PAGEREF _Toc56703380 \h </w:instrText>
          </w:r>
          <w:r>
            <w:rPr>
              <w:sz w:val="28"/>
              <w:szCs w:val="28"/>
            </w:rPr>
            <w:fldChar w:fldCharType="separate"/>
          </w:r>
          <w:r>
            <w:rPr>
              <w:sz w:val="28"/>
              <w:szCs w:val="28"/>
            </w:rPr>
            <w:t>8</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"_Toc56703381" </w:instrText>
          </w:r>
          <w:r>
            <w:fldChar w:fldCharType="separate"/>
          </w:r>
          <w:r>
            <w:rPr>
              <w:rStyle w:val="15"/>
              <w:rFonts w:ascii="仿宋_GB2312"/>
              <w:sz w:val="28"/>
              <w:szCs w:val="28"/>
            </w:rPr>
            <w:t>2.拟定需求资料清单</w:t>
          </w:r>
          <w:r>
            <w:rPr>
              <w:sz w:val="28"/>
              <w:szCs w:val="28"/>
            </w:rPr>
            <w:tab/>
          </w:r>
          <w:r>
            <w:rPr>
              <w:sz w:val="28"/>
              <w:szCs w:val="28"/>
            </w:rPr>
            <w:fldChar w:fldCharType="begin"/>
          </w:r>
          <w:r>
            <w:rPr>
              <w:sz w:val="28"/>
              <w:szCs w:val="28"/>
            </w:rPr>
            <w:instrText xml:space="preserve"> PAGEREF _Toc56703381 \h </w:instrText>
          </w:r>
          <w:r>
            <w:rPr>
              <w:sz w:val="28"/>
              <w:szCs w:val="28"/>
            </w:rPr>
            <w:fldChar w:fldCharType="separate"/>
          </w:r>
          <w:r>
            <w:rPr>
              <w:sz w:val="28"/>
              <w:szCs w:val="28"/>
            </w:rPr>
            <w:t>8</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"_Toc56703382" </w:instrText>
          </w:r>
          <w:r>
            <w:fldChar w:fldCharType="separate"/>
          </w:r>
          <w:r>
            <w:rPr>
              <w:rStyle w:val="15"/>
              <w:rFonts w:ascii="仿宋_GB2312"/>
              <w:sz w:val="28"/>
              <w:szCs w:val="28"/>
            </w:rPr>
            <w:t>3.收集资料、查阅资料、分析数据</w:t>
          </w:r>
          <w:r>
            <w:rPr>
              <w:sz w:val="28"/>
              <w:szCs w:val="28"/>
            </w:rPr>
            <w:tab/>
          </w:r>
          <w:r>
            <w:rPr>
              <w:sz w:val="28"/>
              <w:szCs w:val="28"/>
            </w:rPr>
            <w:fldChar w:fldCharType="begin"/>
          </w:r>
          <w:r>
            <w:rPr>
              <w:sz w:val="28"/>
              <w:szCs w:val="28"/>
            </w:rPr>
            <w:instrText xml:space="preserve"> PAGEREF _Toc56703382 \h </w:instrText>
          </w:r>
          <w:r>
            <w:rPr>
              <w:sz w:val="28"/>
              <w:szCs w:val="28"/>
            </w:rPr>
            <w:fldChar w:fldCharType="separate"/>
          </w:r>
          <w:r>
            <w:rPr>
              <w:sz w:val="28"/>
              <w:szCs w:val="28"/>
            </w:rPr>
            <w:t>8</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"_Toc56703383" </w:instrText>
          </w:r>
          <w:r>
            <w:fldChar w:fldCharType="separate"/>
          </w:r>
          <w:r>
            <w:rPr>
              <w:rStyle w:val="15"/>
              <w:rFonts w:ascii="仿宋_GB2312"/>
              <w:sz w:val="28"/>
              <w:szCs w:val="28"/>
            </w:rPr>
            <w:t>4.问卷调查</w:t>
          </w:r>
          <w:r>
            <w:rPr>
              <w:sz w:val="28"/>
              <w:szCs w:val="28"/>
            </w:rPr>
            <w:tab/>
          </w:r>
          <w:r>
            <w:rPr>
              <w:sz w:val="28"/>
              <w:szCs w:val="28"/>
            </w:rPr>
            <w:fldChar w:fldCharType="begin"/>
          </w:r>
          <w:r>
            <w:rPr>
              <w:sz w:val="28"/>
              <w:szCs w:val="28"/>
            </w:rPr>
            <w:instrText xml:space="preserve"> PAGEREF _Toc56703383 \h </w:instrText>
          </w:r>
          <w:r>
            <w:rPr>
              <w:sz w:val="28"/>
              <w:szCs w:val="28"/>
            </w:rPr>
            <w:fldChar w:fldCharType="separate"/>
          </w:r>
          <w:r>
            <w:rPr>
              <w:sz w:val="28"/>
              <w:szCs w:val="28"/>
            </w:rPr>
            <w:t>9</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"_Toc56703384" </w:instrText>
          </w:r>
          <w:r>
            <w:fldChar w:fldCharType="separate"/>
          </w:r>
          <w:r>
            <w:rPr>
              <w:rStyle w:val="15"/>
              <w:rFonts w:ascii="楷体_GB2312" w:eastAsia="楷体_GB2312"/>
              <w:sz w:val="28"/>
              <w:szCs w:val="28"/>
            </w:rPr>
            <w:t>（五）绩效评价实施过程</w:t>
          </w:r>
          <w:r>
            <w:rPr>
              <w:sz w:val="28"/>
              <w:szCs w:val="28"/>
            </w:rPr>
            <w:tab/>
          </w:r>
          <w:r>
            <w:rPr>
              <w:sz w:val="28"/>
              <w:szCs w:val="28"/>
            </w:rPr>
            <w:fldChar w:fldCharType="begin"/>
          </w:r>
          <w:r>
            <w:rPr>
              <w:sz w:val="28"/>
              <w:szCs w:val="28"/>
            </w:rPr>
            <w:instrText xml:space="preserve"> PAGEREF _Toc56703384 \h </w:instrText>
          </w:r>
          <w:r>
            <w:rPr>
              <w:sz w:val="28"/>
              <w:szCs w:val="28"/>
            </w:rPr>
            <w:fldChar w:fldCharType="separate"/>
          </w:r>
          <w:r>
            <w:rPr>
              <w:sz w:val="28"/>
              <w:szCs w:val="28"/>
            </w:rPr>
            <w:t>9</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"_Toc56703385" </w:instrText>
          </w:r>
          <w:r>
            <w:fldChar w:fldCharType="separate"/>
          </w:r>
          <w:r>
            <w:rPr>
              <w:rStyle w:val="15"/>
              <w:rFonts w:ascii="楷体_GB2312" w:eastAsia="楷体_GB2312"/>
              <w:sz w:val="28"/>
              <w:szCs w:val="28"/>
              <w:lang w:eastAsia="zh-Hans"/>
            </w:rPr>
            <w:t>（六）本次绩效评价的局限性</w:t>
          </w:r>
          <w:r>
            <w:rPr>
              <w:sz w:val="28"/>
              <w:szCs w:val="28"/>
            </w:rPr>
            <w:tab/>
          </w:r>
          <w:r>
            <w:rPr>
              <w:sz w:val="28"/>
              <w:szCs w:val="28"/>
            </w:rPr>
            <w:fldChar w:fldCharType="begin"/>
          </w:r>
          <w:r>
            <w:rPr>
              <w:sz w:val="28"/>
              <w:szCs w:val="28"/>
            </w:rPr>
            <w:instrText xml:space="preserve"> PAGEREF _Toc56703385 \h </w:instrText>
          </w:r>
          <w:r>
            <w:rPr>
              <w:sz w:val="28"/>
              <w:szCs w:val="28"/>
            </w:rPr>
            <w:fldChar w:fldCharType="separate"/>
          </w:r>
          <w:r>
            <w:rPr>
              <w:sz w:val="28"/>
              <w:szCs w:val="28"/>
            </w:rPr>
            <w:t>10</w:t>
          </w:r>
          <w:r>
            <w:rPr>
              <w:sz w:val="28"/>
              <w:szCs w:val="28"/>
            </w:rPr>
            <w:fldChar w:fldCharType="end"/>
          </w:r>
          <w:r>
            <w:rPr>
              <w:sz w:val="28"/>
              <w:szCs w:val="28"/>
            </w:rPr>
            <w:fldChar w:fldCharType="end"/>
          </w:r>
        </w:p>
        <w:p>
          <w:pPr>
            <w:pStyle w:val="10"/>
            <w:tabs>
              <w:tab w:val="right" w:leader="dot" w:pos="8290"/>
            </w:tabs>
            <w:rPr>
              <w:rFonts w:cstheme="minorBidi"/>
              <w:kern w:val="2"/>
              <w:sz w:val="28"/>
              <w:szCs w:val="28"/>
            </w:rPr>
          </w:pPr>
          <w:r>
            <w:fldChar w:fldCharType="begin"/>
          </w:r>
          <w:r>
            <w:instrText xml:space="preserve"> HYPERLINK \l "_Toc56703386" </w:instrText>
          </w:r>
          <w:r>
            <w:fldChar w:fldCharType="separate"/>
          </w:r>
          <w:r>
            <w:rPr>
              <w:rStyle w:val="15"/>
              <w:rFonts w:ascii="黑体" w:hAnsi="黑体" w:eastAsia="黑体"/>
              <w:sz w:val="28"/>
              <w:szCs w:val="28"/>
            </w:rPr>
            <w:t>三、项目实施情况</w:t>
          </w:r>
          <w:r>
            <w:rPr>
              <w:sz w:val="28"/>
              <w:szCs w:val="28"/>
            </w:rPr>
            <w:tab/>
          </w:r>
          <w:r>
            <w:rPr>
              <w:sz w:val="28"/>
              <w:szCs w:val="28"/>
            </w:rPr>
            <w:fldChar w:fldCharType="begin"/>
          </w:r>
          <w:r>
            <w:rPr>
              <w:sz w:val="28"/>
              <w:szCs w:val="28"/>
            </w:rPr>
            <w:instrText xml:space="preserve"> PAGEREF _Toc56703386 \h </w:instrText>
          </w:r>
          <w:r>
            <w:rPr>
              <w:sz w:val="28"/>
              <w:szCs w:val="28"/>
            </w:rPr>
            <w:fldChar w:fldCharType="separate"/>
          </w:r>
          <w:r>
            <w:rPr>
              <w:sz w:val="28"/>
              <w:szCs w:val="28"/>
            </w:rPr>
            <w:t>11</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"_Toc56703387" </w:instrText>
          </w:r>
          <w:r>
            <w:fldChar w:fldCharType="separate"/>
          </w:r>
          <w:r>
            <w:rPr>
              <w:rStyle w:val="15"/>
              <w:rFonts w:ascii="楷体_GB2312" w:eastAsia="楷体_GB2312"/>
              <w:sz w:val="28"/>
              <w:szCs w:val="28"/>
            </w:rPr>
            <w:t>（一）项目决策</w:t>
          </w:r>
          <w:r>
            <w:rPr>
              <w:sz w:val="28"/>
              <w:szCs w:val="28"/>
            </w:rPr>
            <w:tab/>
          </w:r>
          <w:r>
            <w:rPr>
              <w:sz w:val="28"/>
              <w:szCs w:val="28"/>
            </w:rPr>
            <w:fldChar w:fldCharType="begin"/>
          </w:r>
          <w:r>
            <w:rPr>
              <w:sz w:val="28"/>
              <w:szCs w:val="28"/>
            </w:rPr>
            <w:instrText xml:space="preserve"> PAGEREF _Toc56703387 \h </w:instrText>
          </w:r>
          <w:r>
            <w:rPr>
              <w:sz w:val="28"/>
              <w:szCs w:val="28"/>
            </w:rPr>
            <w:fldChar w:fldCharType="separate"/>
          </w:r>
          <w:r>
            <w:rPr>
              <w:sz w:val="28"/>
              <w:szCs w:val="28"/>
            </w:rPr>
            <w:t>11</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"_Toc56703388" </w:instrText>
          </w:r>
          <w:r>
            <w:fldChar w:fldCharType="separate"/>
          </w:r>
          <w:r>
            <w:rPr>
              <w:rStyle w:val="15"/>
              <w:rFonts w:ascii="仿宋_GB2312"/>
              <w:sz w:val="28"/>
              <w:szCs w:val="28"/>
            </w:rPr>
            <w:t>1.绩效目标情况</w:t>
          </w:r>
          <w:r>
            <w:rPr>
              <w:sz w:val="28"/>
              <w:szCs w:val="28"/>
            </w:rPr>
            <w:tab/>
          </w:r>
          <w:r>
            <w:rPr>
              <w:sz w:val="28"/>
              <w:szCs w:val="28"/>
            </w:rPr>
            <w:fldChar w:fldCharType="begin"/>
          </w:r>
          <w:r>
            <w:rPr>
              <w:sz w:val="28"/>
              <w:szCs w:val="28"/>
            </w:rPr>
            <w:instrText xml:space="preserve"> PAGEREF _Toc56703388 \h </w:instrText>
          </w:r>
          <w:r>
            <w:rPr>
              <w:sz w:val="28"/>
              <w:szCs w:val="28"/>
            </w:rPr>
            <w:fldChar w:fldCharType="separate"/>
          </w:r>
          <w:r>
            <w:rPr>
              <w:sz w:val="28"/>
              <w:szCs w:val="28"/>
            </w:rPr>
            <w:t>11</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"_Toc56703389" </w:instrText>
          </w:r>
          <w:r>
            <w:fldChar w:fldCharType="separate"/>
          </w:r>
          <w:r>
            <w:rPr>
              <w:rStyle w:val="15"/>
              <w:rFonts w:ascii="仿宋_GB2312"/>
              <w:sz w:val="28"/>
              <w:szCs w:val="28"/>
            </w:rPr>
            <w:t>2.决策依据情况</w:t>
          </w:r>
          <w:r>
            <w:rPr>
              <w:sz w:val="28"/>
              <w:szCs w:val="28"/>
            </w:rPr>
            <w:tab/>
          </w:r>
          <w:r>
            <w:rPr>
              <w:sz w:val="28"/>
              <w:szCs w:val="28"/>
            </w:rPr>
            <w:fldChar w:fldCharType="begin"/>
          </w:r>
          <w:r>
            <w:rPr>
              <w:sz w:val="28"/>
              <w:szCs w:val="28"/>
            </w:rPr>
            <w:instrText xml:space="preserve"> PAGEREF _Toc56703389 \h </w:instrText>
          </w:r>
          <w:r>
            <w:rPr>
              <w:sz w:val="28"/>
              <w:szCs w:val="28"/>
            </w:rPr>
            <w:fldChar w:fldCharType="separate"/>
          </w:r>
          <w:r>
            <w:rPr>
              <w:sz w:val="28"/>
              <w:szCs w:val="28"/>
            </w:rPr>
            <w:t>11</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"_Toc56703390" </w:instrText>
          </w:r>
          <w:r>
            <w:fldChar w:fldCharType="separate"/>
          </w:r>
          <w:r>
            <w:rPr>
              <w:rStyle w:val="15"/>
              <w:rFonts w:ascii="仿宋_GB2312"/>
              <w:sz w:val="28"/>
              <w:szCs w:val="28"/>
            </w:rPr>
            <w:t>3.资金分配情况</w:t>
          </w:r>
          <w:r>
            <w:rPr>
              <w:sz w:val="28"/>
              <w:szCs w:val="28"/>
            </w:rPr>
            <w:tab/>
          </w:r>
          <w:r>
            <w:rPr>
              <w:sz w:val="28"/>
              <w:szCs w:val="28"/>
            </w:rPr>
            <w:fldChar w:fldCharType="begin"/>
          </w:r>
          <w:r>
            <w:rPr>
              <w:sz w:val="28"/>
              <w:szCs w:val="28"/>
            </w:rPr>
            <w:instrText xml:space="preserve"> PAGEREF _Toc56703390 \h </w:instrText>
          </w:r>
          <w:r>
            <w:rPr>
              <w:sz w:val="28"/>
              <w:szCs w:val="28"/>
            </w:rPr>
            <w:fldChar w:fldCharType="separate"/>
          </w:r>
          <w:r>
            <w:rPr>
              <w:sz w:val="28"/>
              <w:szCs w:val="28"/>
            </w:rPr>
            <w:t>12</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"_Toc56703391" </w:instrText>
          </w:r>
          <w:r>
            <w:fldChar w:fldCharType="separate"/>
          </w:r>
          <w:r>
            <w:rPr>
              <w:rStyle w:val="15"/>
              <w:rFonts w:ascii="楷体_GB2312" w:eastAsia="楷体_GB2312"/>
              <w:sz w:val="28"/>
              <w:szCs w:val="28"/>
            </w:rPr>
            <w:t>（二）项目管理</w:t>
          </w:r>
          <w:r>
            <w:rPr>
              <w:sz w:val="28"/>
              <w:szCs w:val="28"/>
            </w:rPr>
            <w:tab/>
          </w:r>
          <w:r>
            <w:rPr>
              <w:sz w:val="28"/>
              <w:szCs w:val="28"/>
            </w:rPr>
            <w:fldChar w:fldCharType="begin"/>
          </w:r>
          <w:r>
            <w:rPr>
              <w:sz w:val="28"/>
              <w:szCs w:val="28"/>
            </w:rPr>
            <w:instrText xml:space="preserve"> PAGEREF _Toc56703391 \h </w:instrText>
          </w:r>
          <w:r>
            <w:rPr>
              <w:sz w:val="28"/>
              <w:szCs w:val="28"/>
            </w:rPr>
            <w:fldChar w:fldCharType="separate"/>
          </w:r>
          <w:r>
            <w:rPr>
              <w:sz w:val="28"/>
              <w:szCs w:val="28"/>
            </w:rPr>
            <w:t>12</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"_Toc56703392" </w:instrText>
          </w:r>
          <w:r>
            <w:fldChar w:fldCharType="separate"/>
          </w:r>
          <w:r>
            <w:rPr>
              <w:rStyle w:val="15"/>
              <w:rFonts w:ascii="仿宋_GB2312"/>
              <w:sz w:val="28"/>
              <w:szCs w:val="28"/>
            </w:rPr>
            <w:t>1.资金到位情况</w:t>
          </w:r>
          <w:r>
            <w:rPr>
              <w:sz w:val="28"/>
              <w:szCs w:val="28"/>
            </w:rPr>
            <w:tab/>
          </w:r>
          <w:r>
            <w:rPr>
              <w:sz w:val="28"/>
              <w:szCs w:val="28"/>
            </w:rPr>
            <w:fldChar w:fldCharType="begin"/>
          </w:r>
          <w:r>
            <w:rPr>
              <w:sz w:val="28"/>
              <w:szCs w:val="28"/>
            </w:rPr>
            <w:instrText xml:space="preserve"> PAGEREF _Toc56703392 \h </w:instrText>
          </w:r>
          <w:r>
            <w:rPr>
              <w:sz w:val="28"/>
              <w:szCs w:val="28"/>
            </w:rPr>
            <w:fldChar w:fldCharType="separate"/>
          </w:r>
          <w:r>
            <w:rPr>
              <w:sz w:val="28"/>
              <w:szCs w:val="28"/>
            </w:rPr>
            <w:t>12</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"_Toc56703393" </w:instrText>
          </w:r>
          <w:r>
            <w:fldChar w:fldCharType="separate"/>
          </w:r>
          <w:r>
            <w:rPr>
              <w:rStyle w:val="15"/>
              <w:rFonts w:ascii="仿宋_GB2312"/>
              <w:sz w:val="28"/>
              <w:szCs w:val="28"/>
            </w:rPr>
            <w:t>2.资金管理情况</w:t>
          </w:r>
          <w:r>
            <w:rPr>
              <w:sz w:val="28"/>
              <w:szCs w:val="28"/>
            </w:rPr>
            <w:tab/>
          </w:r>
          <w:r>
            <w:rPr>
              <w:sz w:val="28"/>
              <w:szCs w:val="28"/>
            </w:rPr>
            <w:fldChar w:fldCharType="begin"/>
          </w:r>
          <w:r>
            <w:rPr>
              <w:sz w:val="28"/>
              <w:szCs w:val="28"/>
            </w:rPr>
            <w:instrText xml:space="preserve"> PAGEREF _Toc56703393 \h </w:instrText>
          </w:r>
          <w:r>
            <w:rPr>
              <w:sz w:val="28"/>
              <w:szCs w:val="28"/>
            </w:rPr>
            <w:fldChar w:fldCharType="separate"/>
          </w:r>
          <w:r>
            <w:rPr>
              <w:sz w:val="28"/>
              <w:szCs w:val="28"/>
            </w:rPr>
            <w:t>12</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"_Toc56703394" </w:instrText>
          </w:r>
          <w:r>
            <w:fldChar w:fldCharType="separate"/>
          </w:r>
          <w:r>
            <w:rPr>
              <w:rStyle w:val="15"/>
              <w:rFonts w:ascii="仿宋_GB2312"/>
              <w:sz w:val="28"/>
              <w:szCs w:val="28"/>
            </w:rPr>
            <w:t>3.财务管理情况</w:t>
          </w:r>
          <w:r>
            <w:rPr>
              <w:sz w:val="28"/>
              <w:szCs w:val="28"/>
            </w:rPr>
            <w:tab/>
          </w:r>
          <w:r>
            <w:rPr>
              <w:sz w:val="28"/>
              <w:szCs w:val="28"/>
            </w:rPr>
            <w:fldChar w:fldCharType="begin"/>
          </w:r>
          <w:r>
            <w:rPr>
              <w:sz w:val="28"/>
              <w:szCs w:val="28"/>
            </w:rPr>
            <w:instrText xml:space="preserve"> PAGEREF _Toc56703394 \h </w:instrText>
          </w:r>
          <w:r>
            <w:rPr>
              <w:sz w:val="28"/>
              <w:szCs w:val="28"/>
            </w:rPr>
            <w:fldChar w:fldCharType="separate"/>
          </w:r>
          <w:r>
            <w:rPr>
              <w:sz w:val="28"/>
              <w:szCs w:val="28"/>
            </w:rPr>
            <w:t>12</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"_Toc56703395" </w:instrText>
          </w:r>
          <w:r>
            <w:fldChar w:fldCharType="separate"/>
          </w:r>
          <w:r>
            <w:rPr>
              <w:rStyle w:val="15"/>
              <w:rFonts w:ascii="仿宋_GB2312"/>
              <w:sz w:val="28"/>
              <w:szCs w:val="28"/>
            </w:rPr>
            <w:t>4.组织实施情况</w:t>
          </w:r>
          <w:r>
            <w:rPr>
              <w:sz w:val="28"/>
              <w:szCs w:val="28"/>
            </w:rPr>
            <w:tab/>
          </w:r>
          <w:r>
            <w:rPr>
              <w:sz w:val="28"/>
              <w:szCs w:val="28"/>
            </w:rPr>
            <w:fldChar w:fldCharType="begin"/>
          </w:r>
          <w:r>
            <w:rPr>
              <w:sz w:val="28"/>
              <w:szCs w:val="28"/>
            </w:rPr>
            <w:instrText xml:space="preserve"> PAGEREF _Toc56703395 \h </w:instrText>
          </w:r>
          <w:r>
            <w:rPr>
              <w:sz w:val="28"/>
              <w:szCs w:val="28"/>
            </w:rPr>
            <w:fldChar w:fldCharType="separate"/>
          </w:r>
          <w:r>
            <w:rPr>
              <w:sz w:val="28"/>
              <w:szCs w:val="28"/>
            </w:rPr>
            <w:t>12</w:t>
          </w:r>
          <w:r>
            <w:rPr>
              <w:sz w:val="28"/>
              <w:szCs w:val="28"/>
            </w:rPr>
            <w:fldChar w:fldCharType="end"/>
          </w:r>
          <w:r>
            <w:rPr>
              <w:sz w:val="28"/>
              <w:szCs w:val="28"/>
            </w:rPr>
            <w:fldChar w:fldCharType="end"/>
          </w:r>
        </w:p>
        <w:p>
          <w:pPr>
            <w:pStyle w:val="10"/>
            <w:tabs>
              <w:tab w:val="right" w:leader="dot" w:pos="8290"/>
            </w:tabs>
            <w:rPr>
              <w:rFonts w:cstheme="minorBidi"/>
              <w:kern w:val="2"/>
              <w:sz w:val="28"/>
              <w:szCs w:val="28"/>
            </w:rPr>
          </w:pPr>
          <w:r>
            <w:fldChar w:fldCharType="begin"/>
          </w:r>
          <w:r>
            <w:instrText xml:space="preserve"> HYPERLINK \l "_Toc56703396" </w:instrText>
          </w:r>
          <w:r>
            <w:fldChar w:fldCharType="separate"/>
          </w:r>
          <w:r>
            <w:rPr>
              <w:rStyle w:val="15"/>
              <w:rFonts w:ascii="黑体" w:hAnsi="黑体" w:eastAsia="黑体"/>
              <w:sz w:val="28"/>
              <w:szCs w:val="28"/>
            </w:rPr>
            <w:t>四、项目绩效情况</w:t>
          </w:r>
          <w:r>
            <w:rPr>
              <w:sz w:val="28"/>
              <w:szCs w:val="28"/>
            </w:rPr>
            <w:tab/>
          </w:r>
          <w:r>
            <w:rPr>
              <w:sz w:val="28"/>
              <w:szCs w:val="28"/>
            </w:rPr>
            <w:fldChar w:fldCharType="begin"/>
          </w:r>
          <w:r>
            <w:rPr>
              <w:sz w:val="28"/>
              <w:szCs w:val="28"/>
            </w:rPr>
            <w:instrText xml:space="preserve"> PAGEREF _Toc56703396 \h </w:instrText>
          </w:r>
          <w:r>
            <w:rPr>
              <w:sz w:val="28"/>
              <w:szCs w:val="28"/>
            </w:rPr>
            <w:fldChar w:fldCharType="separate"/>
          </w:r>
          <w:r>
            <w:rPr>
              <w:sz w:val="28"/>
              <w:szCs w:val="28"/>
            </w:rPr>
            <w:t>13</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"_Toc56703397" </w:instrText>
          </w:r>
          <w:r>
            <w:fldChar w:fldCharType="separate"/>
          </w:r>
          <w:r>
            <w:rPr>
              <w:rStyle w:val="15"/>
              <w:rFonts w:ascii="楷体_GB2312" w:eastAsia="楷体_GB2312"/>
              <w:sz w:val="28"/>
              <w:szCs w:val="28"/>
            </w:rPr>
            <w:t>（一）项目完成情况</w:t>
          </w:r>
          <w:r>
            <w:rPr>
              <w:sz w:val="28"/>
              <w:szCs w:val="28"/>
            </w:rPr>
            <w:tab/>
          </w:r>
          <w:r>
            <w:rPr>
              <w:sz w:val="28"/>
              <w:szCs w:val="28"/>
            </w:rPr>
            <w:fldChar w:fldCharType="begin"/>
          </w:r>
          <w:r>
            <w:rPr>
              <w:sz w:val="28"/>
              <w:szCs w:val="28"/>
            </w:rPr>
            <w:instrText xml:space="preserve"> PAGEREF _Toc56703397 \h </w:instrText>
          </w:r>
          <w:r>
            <w:rPr>
              <w:sz w:val="28"/>
              <w:szCs w:val="28"/>
            </w:rPr>
            <w:fldChar w:fldCharType="separate"/>
          </w:r>
          <w:r>
            <w:rPr>
              <w:sz w:val="28"/>
              <w:szCs w:val="28"/>
            </w:rPr>
            <w:t>13</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"_Toc56703398" </w:instrText>
          </w:r>
          <w:r>
            <w:fldChar w:fldCharType="separate"/>
          </w:r>
          <w:r>
            <w:rPr>
              <w:rStyle w:val="15"/>
              <w:rFonts w:ascii="仿宋_GB2312"/>
              <w:sz w:val="28"/>
              <w:szCs w:val="28"/>
            </w:rPr>
            <w:t>1.完成数量</w:t>
          </w:r>
          <w:r>
            <w:rPr>
              <w:sz w:val="28"/>
              <w:szCs w:val="28"/>
            </w:rPr>
            <w:tab/>
          </w:r>
          <w:r>
            <w:rPr>
              <w:sz w:val="28"/>
              <w:szCs w:val="28"/>
            </w:rPr>
            <w:fldChar w:fldCharType="begin"/>
          </w:r>
          <w:r>
            <w:rPr>
              <w:sz w:val="28"/>
              <w:szCs w:val="28"/>
            </w:rPr>
            <w:instrText xml:space="preserve"> PAGEREF _Toc56703398 \h </w:instrText>
          </w:r>
          <w:r>
            <w:rPr>
              <w:sz w:val="28"/>
              <w:szCs w:val="28"/>
            </w:rPr>
            <w:fldChar w:fldCharType="separate"/>
          </w:r>
          <w:r>
            <w:rPr>
              <w:sz w:val="28"/>
              <w:szCs w:val="28"/>
            </w:rPr>
            <w:t>13</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"_Toc56703399" </w:instrText>
          </w:r>
          <w:r>
            <w:fldChar w:fldCharType="separate"/>
          </w:r>
          <w:r>
            <w:rPr>
              <w:rStyle w:val="15"/>
              <w:rFonts w:ascii="仿宋_GB2312"/>
              <w:sz w:val="28"/>
              <w:szCs w:val="28"/>
            </w:rPr>
            <w:t>2.完成质量</w:t>
          </w:r>
          <w:r>
            <w:rPr>
              <w:sz w:val="28"/>
              <w:szCs w:val="28"/>
            </w:rPr>
            <w:tab/>
          </w:r>
          <w:r>
            <w:rPr>
              <w:sz w:val="28"/>
              <w:szCs w:val="28"/>
            </w:rPr>
            <w:fldChar w:fldCharType="begin"/>
          </w:r>
          <w:r>
            <w:rPr>
              <w:sz w:val="28"/>
              <w:szCs w:val="28"/>
            </w:rPr>
            <w:instrText xml:space="preserve"> PAGEREF _Toc56703399 \h </w:instrText>
          </w:r>
          <w:r>
            <w:rPr>
              <w:sz w:val="28"/>
              <w:szCs w:val="28"/>
            </w:rPr>
            <w:fldChar w:fldCharType="separate"/>
          </w:r>
          <w:r>
            <w:rPr>
              <w:sz w:val="28"/>
              <w:szCs w:val="28"/>
            </w:rPr>
            <w:t>13</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"_Toc56703400" </w:instrText>
          </w:r>
          <w:r>
            <w:fldChar w:fldCharType="separate"/>
          </w:r>
          <w:r>
            <w:rPr>
              <w:rStyle w:val="15"/>
              <w:rFonts w:ascii="仿宋_GB2312"/>
              <w:sz w:val="28"/>
              <w:szCs w:val="28"/>
            </w:rPr>
            <w:t>3.完成时效</w:t>
          </w:r>
          <w:r>
            <w:rPr>
              <w:sz w:val="28"/>
              <w:szCs w:val="28"/>
            </w:rPr>
            <w:tab/>
          </w:r>
          <w:r>
            <w:rPr>
              <w:sz w:val="28"/>
              <w:szCs w:val="28"/>
            </w:rPr>
            <w:fldChar w:fldCharType="begin"/>
          </w:r>
          <w:r>
            <w:rPr>
              <w:sz w:val="28"/>
              <w:szCs w:val="28"/>
            </w:rPr>
            <w:instrText xml:space="preserve"> PAGEREF _Toc56703400 \h </w:instrText>
          </w:r>
          <w:r>
            <w:rPr>
              <w:sz w:val="28"/>
              <w:szCs w:val="28"/>
            </w:rPr>
            <w:fldChar w:fldCharType="separate"/>
          </w:r>
          <w:r>
            <w:rPr>
              <w:sz w:val="28"/>
              <w:szCs w:val="28"/>
            </w:rPr>
            <w:t>14</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"_Toc56703401" </w:instrText>
          </w:r>
          <w:r>
            <w:fldChar w:fldCharType="separate"/>
          </w:r>
          <w:r>
            <w:rPr>
              <w:rStyle w:val="15"/>
              <w:rFonts w:ascii="楷体_GB2312" w:eastAsia="楷体_GB2312"/>
              <w:sz w:val="28"/>
              <w:szCs w:val="28"/>
            </w:rPr>
            <w:t>（二）项目效益情况</w:t>
          </w:r>
          <w:r>
            <w:rPr>
              <w:sz w:val="28"/>
              <w:szCs w:val="28"/>
            </w:rPr>
            <w:tab/>
          </w:r>
          <w:r>
            <w:rPr>
              <w:sz w:val="28"/>
              <w:szCs w:val="28"/>
            </w:rPr>
            <w:fldChar w:fldCharType="begin"/>
          </w:r>
          <w:r>
            <w:rPr>
              <w:sz w:val="28"/>
              <w:szCs w:val="28"/>
            </w:rPr>
            <w:instrText xml:space="preserve"> PAGEREF _Toc56703401 \h </w:instrText>
          </w:r>
          <w:r>
            <w:rPr>
              <w:sz w:val="28"/>
              <w:szCs w:val="28"/>
            </w:rPr>
            <w:fldChar w:fldCharType="separate"/>
          </w:r>
          <w:r>
            <w:rPr>
              <w:sz w:val="28"/>
              <w:szCs w:val="28"/>
            </w:rPr>
            <w:t>14</w:t>
          </w:r>
          <w:r>
            <w:rPr>
              <w:sz w:val="28"/>
              <w:szCs w:val="28"/>
            </w:rPr>
            <w:fldChar w:fldCharType="end"/>
          </w:r>
          <w:r>
            <w:rPr>
              <w:sz w:val="28"/>
              <w:szCs w:val="28"/>
            </w:rPr>
            <w:fldChar w:fldCharType="end"/>
          </w:r>
        </w:p>
        <w:p>
          <w:pPr>
            <w:pStyle w:val="10"/>
            <w:tabs>
              <w:tab w:val="right" w:leader="dot" w:pos="8290"/>
            </w:tabs>
            <w:rPr>
              <w:rFonts w:cstheme="minorBidi"/>
              <w:kern w:val="2"/>
              <w:sz w:val="28"/>
              <w:szCs w:val="28"/>
            </w:rPr>
          </w:pPr>
          <w:r>
            <w:fldChar w:fldCharType="begin"/>
          </w:r>
          <w:r>
            <w:instrText xml:space="preserve"> HYPERLINK \l "_Toc56703402" </w:instrText>
          </w:r>
          <w:r>
            <w:fldChar w:fldCharType="separate"/>
          </w:r>
          <w:r>
            <w:rPr>
              <w:rStyle w:val="15"/>
              <w:rFonts w:ascii="黑体" w:hAnsi="黑体" w:eastAsia="黑体"/>
              <w:sz w:val="28"/>
              <w:szCs w:val="28"/>
            </w:rPr>
            <w:t>五、评价结论及存在问题</w:t>
          </w:r>
          <w:r>
            <w:rPr>
              <w:sz w:val="28"/>
              <w:szCs w:val="28"/>
            </w:rPr>
            <w:tab/>
          </w:r>
          <w:r>
            <w:rPr>
              <w:sz w:val="28"/>
              <w:szCs w:val="28"/>
            </w:rPr>
            <w:fldChar w:fldCharType="begin"/>
          </w:r>
          <w:r>
            <w:rPr>
              <w:sz w:val="28"/>
              <w:szCs w:val="28"/>
            </w:rPr>
            <w:instrText xml:space="preserve"> PAGEREF _Toc56703402 \h </w:instrText>
          </w:r>
          <w:r>
            <w:rPr>
              <w:sz w:val="28"/>
              <w:szCs w:val="28"/>
            </w:rPr>
            <w:fldChar w:fldCharType="separate"/>
          </w:r>
          <w:r>
            <w:rPr>
              <w:sz w:val="28"/>
              <w:szCs w:val="28"/>
            </w:rPr>
            <w:t>15</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"_Toc56703403" </w:instrText>
          </w:r>
          <w:r>
            <w:fldChar w:fldCharType="separate"/>
          </w:r>
          <w:r>
            <w:rPr>
              <w:rStyle w:val="15"/>
              <w:rFonts w:ascii="楷体_GB2312" w:eastAsia="楷体_GB2312"/>
              <w:sz w:val="28"/>
              <w:szCs w:val="28"/>
            </w:rPr>
            <w:t>（一）评价结论</w:t>
          </w:r>
          <w:r>
            <w:rPr>
              <w:sz w:val="28"/>
              <w:szCs w:val="28"/>
            </w:rPr>
            <w:tab/>
          </w:r>
          <w:r>
            <w:rPr>
              <w:sz w:val="28"/>
              <w:szCs w:val="28"/>
            </w:rPr>
            <w:fldChar w:fldCharType="begin"/>
          </w:r>
          <w:r>
            <w:rPr>
              <w:sz w:val="28"/>
              <w:szCs w:val="28"/>
            </w:rPr>
            <w:instrText xml:space="preserve"> PAGEREF _Toc56703403 \h </w:instrText>
          </w:r>
          <w:r>
            <w:rPr>
              <w:sz w:val="28"/>
              <w:szCs w:val="28"/>
            </w:rPr>
            <w:fldChar w:fldCharType="separate"/>
          </w:r>
          <w:r>
            <w:rPr>
              <w:sz w:val="28"/>
              <w:szCs w:val="28"/>
            </w:rPr>
            <w:t>15</w:t>
          </w:r>
          <w:r>
            <w:rPr>
              <w:sz w:val="28"/>
              <w:szCs w:val="28"/>
            </w:rPr>
            <w:fldChar w:fldCharType="end"/>
          </w:r>
          <w:r>
            <w:rPr>
              <w:sz w:val="28"/>
              <w:szCs w:val="28"/>
            </w:rPr>
            <w:fldChar w:fldCharType="end"/>
          </w:r>
        </w:p>
        <w:p>
          <w:pPr>
            <w:pStyle w:val="11"/>
            <w:tabs>
              <w:tab w:val="right" w:leader="dot" w:pos="8290"/>
            </w:tabs>
            <w:rPr>
              <w:rFonts w:cstheme="minorBidi"/>
              <w:kern w:val="2"/>
              <w:sz w:val="28"/>
              <w:szCs w:val="28"/>
            </w:rPr>
          </w:pPr>
          <w:r>
            <w:fldChar w:fldCharType="begin"/>
          </w:r>
          <w:r>
            <w:instrText xml:space="preserve"> HYPERLINK \l "_Toc56703404" </w:instrText>
          </w:r>
          <w:r>
            <w:fldChar w:fldCharType="separate"/>
          </w:r>
          <w:r>
            <w:rPr>
              <w:rStyle w:val="15"/>
              <w:rFonts w:ascii="楷体_GB2312" w:eastAsia="楷体_GB2312"/>
              <w:sz w:val="28"/>
              <w:szCs w:val="28"/>
            </w:rPr>
            <w:t>（二）存在的问题</w:t>
          </w:r>
          <w:r>
            <w:rPr>
              <w:sz w:val="28"/>
              <w:szCs w:val="28"/>
            </w:rPr>
            <w:tab/>
          </w:r>
          <w:r>
            <w:rPr>
              <w:sz w:val="28"/>
              <w:szCs w:val="28"/>
            </w:rPr>
            <w:fldChar w:fldCharType="begin"/>
          </w:r>
          <w:r>
            <w:rPr>
              <w:sz w:val="28"/>
              <w:szCs w:val="28"/>
            </w:rPr>
            <w:instrText xml:space="preserve"> PAGEREF _Toc56703404 \h </w:instrText>
          </w:r>
          <w:r>
            <w:rPr>
              <w:sz w:val="28"/>
              <w:szCs w:val="28"/>
            </w:rPr>
            <w:fldChar w:fldCharType="separate"/>
          </w:r>
          <w:r>
            <w:rPr>
              <w:sz w:val="28"/>
              <w:szCs w:val="28"/>
            </w:rPr>
            <w:t>15</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"_Toc56703405" </w:instrText>
          </w:r>
          <w:r>
            <w:fldChar w:fldCharType="separate"/>
          </w:r>
          <w:r>
            <w:rPr>
              <w:rStyle w:val="15"/>
              <w:rFonts w:ascii="仿宋_GB2312" w:hAnsi="仿宋_GB2312" w:cs="仿宋_GB2312"/>
              <w:sz w:val="28"/>
              <w:szCs w:val="28"/>
            </w:rPr>
            <w:t>1.绩效目标的设定与达成方面存在的问题</w:t>
          </w:r>
          <w:r>
            <w:rPr>
              <w:sz w:val="28"/>
              <w:szCs w:val="28"/>
            </w:rPr>
            <w:tab/>
          </w:r>
          <w:r>
            <w:rPr>
              <w:sz w:val="28"/>
              <w:szCs w:val="28"/>
            </w:rPr>
            <w:fldChar w:fldCharType="begin"/>
          </w:r>
          <w:r>
            <w:rPr>
              <w:sz w:val="28"/>
              <w:szCs w:val="28"/>
            </w:rPr>
            <w:instrText xml:space="preserve"> PAGEREF _Toc56703405 \h </w:instrText>
          </w:r>
          <w:r>
            <w:rPr>
              <w:sz w:val="28"/>
              <w:szCs w:val="28"/>
            </w:rPr>
            <w:fldChar w:fldCharType="separate"/>
          </w:r>
          <w:r>
            <w:rPr>
              <w:sz w:val="28"/>
              <w:szCs w:val="28"/>
            </w:rPr>
            <w:t>15</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"_Toc56703406" </w:instrText>
          </w:r>
          <w:r>
            <w:fldChar w:fldCharType="separate"/>
          </w:r>
          <w:r>
            <w:rPr>
              <w:rStyle w:val="15"/>
              <w:rFonts w:ascii="仿宋_GB2312" w:hAnsi="仿宋_GB2312" w:cs="仿宋_GB2312"/>
              <w:sz w:val="28"/>
              <w:szCs w:val="28"/>
            </w:rPr>
            <w:t>2.财务管理方面存在的问题</w:t>
          </w:r>
          <w:r>
            <w:rPr>
              <w:sz w:val="28"/>
              <w:szCs w:val="28"/>
            </w:rPr>
            <w:tab/>
          </w:r>
          <w:r>
            <w:rPr>
              <w:sz w:val="28"/>
              <w:szCs w:val="28"/>
            </w:rPr>
            <w:fldChar w:fldCharType="begin"/>
          </w:r>
          <w:r>
            <w:rPr>
              <w:sz w:val="28"/>
              <w:szCs w:val="28"/>
            </w:rPr>
            <w:instrText xml:space="preserve"> PAGEREF _Toc56703406 \h </w:instrText>
          </w:r>
          <w:r>
            <w:rPr>
              <w:sz w:val="28"/>
              <w:szCs w:val="28"/>
            </w:rPr>
            <w:fldChar w:fldCharType="separate"/>
          </w:r>
          <w:r>
            <w:rPr>
              <w:sz w:val="28"/>
              <w:szCs w:val="28"/>
            </w:rPr>
            <w:t>16</w:t>
          </w:r>
          <w:r>
            <w:rPr>
              <w:sz w:val="28"/>
              <w:szCs w:val="28"/>
            </w:rPr>
            <w:fldChar w:fldCharType="end"/>
          </w:r>
          <w:r>
            <w:rPr>
              <w:sz w:val="28"/>
              <w:szCs w:val="28"/>
            </w:rPr>
            <w:fldChar w:fldCharType="end"/>
          </w:r>
        </w:p>
        <w:p>
          <w:pPr>
            <w:pStyle w:val="6"/>
            <w:tabs>
              <w:tab w:val="right" w:leader="dot" w:pos="8290"/>
            </w:tabs>
            <w:rPr>
              <w:rFonts w:cstheme="minorBidi"/>
              <w:kern w:val="2"/>
              <w:sz w:val="28"/>
              <w:szCs w:val="28"/>
            </w:rPr>
          </w:pPr>
          <w:r>
            <w:fldChar w:fldCharType="begin"/>
          </w:r>
          <w:r>
            <w:instrText xml:space="preserve"> HYPERLINK \l "_Toc56703407" </w:instrText>
          </w:r>
          <w:r>
            <w:fldChar w:fldCharType="separate"/>
          </w:r>
          <w:r>
            <w:rPr>
              <w:rStyle w:val="15"/>
              <w:rFonts w:ascii="仿宋_GB2312" w:hAnsi="仿宋_GB2312" w:cs="仿宋_GB2312"/>
              <w:sz w:val="28"/>
              <w:szCs w:val="28"/>
            </w:rPr>
            <w:t>3.项目执行过程存在的问题</w:t>
          </w:r>
          <w:r>
            <w:rPr>
              <w:sz w:val="28"/>
              <w:szCs w:val="28"/>
            </w:rPr>
            <w:tab/>
          </w:r>
          <w:r>
            <w:rPr>
              <w:sz w:val="28"/>
              <w:szCs w:val="28"/>
            </w:rPr>
            <w:fldChar w:fldCharType="begin"/>
          </w:r>
          <w:r>
            <w:rPr>
              <w:sz w:val="28"/>
              <w:szCs w:val="28"/>
            </w:rPr>
            <w:instrText xml:space="preserve"> PAGEREF _Toc56703407 \h </w:instrText>
          </w:r>
          <w:r>
            <w:rPr>
              <w:sz w:val="28"/>
              <w:szCs w:val="28"/>
            </w:rPr>
            <w:fldChar w:fldCharType="separate"/>
          </w:r>
          <w:r>
            <w:rPr>
              <w:sz w:val="28"/>
              <w:szCs w:val="28"/>
            </w:rPr>
            <w:t>16</w:t>
          </w:r>
          <w:r>
            <w:rPr>
              <w:sz w:val="28"/>
              <w:szCs w:val="28"/>
            </w:rPr>
            <w:fldChar w:fldCharType="end"/>
          </w:r>
          <w:r>
            <w:rPr>
              <w:sz w:val="28"/>
              <w:szCs w:val="28"/>
            </w:rPr>
            <w:fldChar w:fldCharType="end"/>
          </w:r>
        </w:p>
        <w:p>
          <w:pPr>
            <w:pStyle w:val="10"/>
            <w:tabs>
              <w:tab w:val="right" w:leader="dot" w:pos="8290"/>
            </w:tabs>
            <w:rPr>
              <w:rFonts w:cstheme="minorBidi"/>
              <w:kern w:val="2"/>
              <w:sz w:val="28"/>
              <w:szCs w:val="28"/>
            </w:rPr>
          </w:pPr>
          <w:r>
            <w:fldChar w:fldCharType="begin"/>
          </w:r>
          <w:r>
            <w:instrText xml:space="preserve"> HYPERLINK \l "_Toc56703408" </w:instrText>
          </w:r>
          <w:r>
            <w:fldChar w:fldCharType="separate"/>
          </w:r>
          <w:r>
            <w:rPr>
              <w:rStyle w:val="15"/>
              <w:rFonts w:ascii="黑体" w:hAnsi="黑体" w:eastAsia="黑体"/>
              <w:sz w:val="28"/>
              <w:szCs w:val="28"/>
            </w:rPr>
            <w:t>六、相关建议</w:t>
          </w:r>
          <w:r>
            <w:rPr>
              <w:sz w:val="28"/>
              <w:szCs w:val="28"/>
            </w:rPr>
            <w:tab/>
          </w:r>
          <w:r>
            <w:rPr>
              <w:sz w:val="28"/>
              <w:szCs w:val="28"/>
            </w:rPr>
            <w:fldChar w:fldCharType="begin"/>
          </w:r>
          <w:r>
            <w:rPr>
              <w:sz w:val="28"/>
              <w:szCs w:val="28"/>
            </w:rPr>
            <w:instrText xml:space="preserve"> PAGEREF _Toc56703408 \h </w:instrText>
          </w:r>
          <w:r>
            <w:rPr>
              <w:sz w:val="28"/>
              <w:szCs w:val="28"/>
            </w:rPr>
            <w:fldChar w:fldCharType="separate"/>
          </w:r>
          <w:r>
            <w:rPr>
              <w:sz w:val="28"/>
              <w:szCs w:val="28"/>
            </w:rPr>
            <w:t>17</w:t>
          </w:r>
          <w:r>
            <w:rPr>
              <w:sz w:val="28"/>
              <w:szCs w:val="28"/>
            </w:rPr>
            <w:fldChar w:fldCharType="end"/>
          </w:r>
          <w:r>
            <w:rPr>
              <w:sz w:val="28"/>
              <w:szCs w:val="28"/>
            </w:rPr>
            <w:fldChar w:fldCharType="end"/>
          </w:r>
        </w:p>
        <w:p>
          <w:pPr>
            <w:pStyle w:val="10"/>
            <w:tabs>
              <w:tab w:val="right" w:leader="dot" w:pos="8290"/>
            </w:tabs>
            <w:rPr>
              <w:rFonts w:cstheme="minorBidi"/>
              <w:kern w:val="2"/>
              <w:sz w:val="21"/>
            </w:rPr>
          </w:pPr>
          <w:r>
            <w:fldChar w:fldCharType="begin"/>
          </w:r>
          <w:r>
            <w:instrText xml:space="preserve"> HYPERLINK \l "_Toc56703409" </w:instrText>
          </w:r>
          <w:r>
            <w:fldChar w:fldCharType="separate"/>
          </w:r>
          <w:r>
            <w:rPr>
              <w:rStyle w:val="15"/>
              <w:rFonts w:ascii="黑体" w:hAnsi="黑体" w:eastAsia="黑体"/>
              <w:sz w:val="28"/>
              <w:szCs w:val="28"/>
            </w:rPr>
            <w:t>七、附件</w:t>
          </w:r>
          <w:r>
            <w:rPr>
              <w:sz w:val="28"/>
              <w:szCs w:val="28"/>
            </w:rPr>
            <w:tab/>
          </w:r>
          <w:r>
            <w:rPr>
              <w:sz w:val="28"/>
              <w:szCs w:val="28"/>
            </w:rPr>
            <w:fldChar w:fldCharType="begin"/>
          </w:r>
          <w:r>
            <w:rPr>
              <w:sz w:val="28"/>
              <w:szCs w:val="28"/>
            </w:rPr>
            <w:instrText xml:space="preserve"> PAGEREF _Toc56703409 \h </w:instrText>
          </w:r>
          <w:r>
            <w:rPr>
              <w:sz w:val="28"/>
              <w:szCs w:val="28"/>
            </w:rPr>
            <w:fldChar w:fldCharType="separate"/>
          </w:r>
          <w:r>
            <w:rPr>
              <w:sz w:val="28"/>
              <w:szCs w:val="28"/>
            </w:rPr>
            <w:t>18</w:t>
          </w:r>
          <w:r>
            <w:rPr>
              <w:sz w:val="28"/>
              <w:szCs w:val="28"/>
            </w:rPr>
            <w:fldChar w:fldCharType="end"/>
          </w:r>
          <w:r>
            <w:rPr>
              <w:sz w:val="28"/>
              <w:szCs w:val="28"/>
            </w:rPr>
            <w:fldChar w:fldCharType="end"/>
          </w:r>
        </w:p>
        <w:p>
          <w:pPr>
            <w:pStyle w:val="10"/>
            <w:tabs>
              <w:tab w:val="right" w:leader="dot" w:pos="8300"/>
            </w:tabs>
          </w:pPr>
          <w:r>
            <w:rPr>
              <w:bCs/>
              <w:szCs w:val="28"/>
              <w:lang w:val="zh-CN"/>
            </w:rPr>
            <w:fldChar w:fldCharType="end"/>
          </w:r>
        </w:p>
      </w:sdtContent>
    </w:sdt>
    <w:p>
      <w:pPr>
        <w:jc w:val="center"/>
        <w:rPr>
          <w:rFonts w:ascii="方正小标宋简体" w:eastAsia="方正小标宋简体"/>
          <w:sz w:val="44"/>
          <w:szCs w:val="44"/>
        </w:rPr>
        <w:sectPr>
          <w:footerReference r:id="rId6" w:type="default"/>
          <w:pgSz w:w="11906" w:h="16838"/>
          <w:pgMar w:top="1440" w:right="1803" w:bottom="1440" w:left="1803" w:header="851" w:footer="850" w:gutter="0"/>
          <w:pgNumType w:start="2"/>
          <w:cols w:space="0" w:num="1"/>
          <w:docGrid w:type="lines" w:linePitch="436" w:charSpace="0"/>
        </w:sectPr>
      </w:pPr>
    </w:p>
    <w:p>
      <w:pPr>
        <w:jc w:val="center"/>
        <w:rPr>
          <w:rFonts w:ascii="方正小标宋简体" w:eastAsia="方正小标宋简体"/>
          <w:sz w:val="44"/>
          <w:szCs w:val="44"/>
        </w:rPr>
      </w:pPr>
      <w:r>
        <w:rPr>
          <w:rFonts w:hint="eastAsia" w:ascii="方正小标宋简体" w:eastAsia="方正小标宋简体"/>
          <w:sz w:val="44"/>
          <w:szCs w:val="44"/>
        </w:rPr>
        <w:t>项目支出绩效评价报告</w:t>
      </w:r>
    </w:p>
    <w:p>
      <w:pPr>
        <w:jc w:val="center"/>
      </w:pPr>
      <w:r>
        <w:rPr>
          <w:rFonts w:hint="eastAsia"/>
        </w:rPr>
        <w:t>（物联亿达信息维护项目）</w:t>
      </w:r>
    </w:p>
    <w:p>
      <w:pPr>
        <w:jc w:val="center"/>
      </w:pPr>
    </w:p>
    <w:p>
      <w:pPr>
        <w:pStyle w:val="2"/>
        <w:spacing w:before="0" w:after="0" w:line="720" w:lineRule="auto"/>
        <w:ind w:left="640" w:leftChars="200"/>
        <w:rPr>
          <w:rFonts w:ascii="黑体" w:hAnsi="黑体" w:eastAsia="黑体"/>
          <w:sz w:val="32"/>
          <w:szCs w:val="32"/>
        </w:rPr>
      </w:pPr>
      <w:bookmarkStart w:id="0" w:name="_Toc56703368"/>
      <w:r>
        <w:rPr>
          <w:rFonts w:hint="eastAsia" w:ascii="黑体" w:hAnsi="黑体" w:eastAsia="黑体"/>
          <w:sz w:val="32"/>
          <w:szCs w:val="32"/>
        </w:rPr>
        <w:t>前言：</w:t>
      </w:r>
      <w:bookmarkEnd w:id="0"/>
    </w:p>
    <w:p>
      <w:pPr>
        <w:spacing w:line="600" w:lineRule="exact"/>
        <w:ind w:firstLine="640" w:firstLineChars="200"/>
        <w:rPr>
          <w:rFonts w:ascii="仿宋_GB2312" w:hAnsi="仿宋_GB2312" w:cs="仿宋_GB2312"/>
          <w:szCs w:val="32"/>
        </w:rPr>
      </w:pPr>
      <w:r>
        <w:rPr>
          <w:rFonts w:hint="eastAsia" w:ascii="仿宋_GB2312" w:hAnsi="仿宋_GB2312" w:cs="仿宋_GB2312"/>
          <w:szCs w:val="32"/>
        </w:rPr>
        <w:t>为了进一步规范“物联亿达信息维护项目”专项资金的管理和使用，通过对项目执行与完成情况的全面了解和分析，对项目计划的执行、项目资金的筹集、项目资金的使用、项目效益等情况进行评价，总结项目执行中存在的问题，</w:t>
      </w:r>
      <w:r>
        <w:rPr>
          <w:rFonts w:hint="eastAsia"/>
        </w:rPr>
        <w:t>全面实施预算绩效管理，持续提高财政支出效能，</w:t>
      </w:r>
      <w:r>
        <w:rPr>
          <w:rFonts w:hint="eastAsia" w:ascii="仿宋_GB2312" w:hAnsi="仿宋_GB2312" w:cs="仿宋_GB2312"/>
          <w:szCs w:val="32"/>
        </w:rPr>
        <w:t>根据四川省财政厅《</w:t>
      </w:r>
      <w:r>
        <w:rPr>
          <w:rFonts w:hint="eastAsia" w:ascii="仿宋_GB2312" w:hAnsi="仿宋_GB2312" w:cs="仿宋_GB2312"/>
          <w:kern w:val="0"/>
          <w:szCs w:val="32"/>
        </w:rPr>
        <w:t>四川省财政支出绩效评价管理暂行办法</w:t>
      </w:r>
      <w:r>
        <w:rPr>
          <w:rFonts w:hint="eastAsia" w:ascii="仿宋_GB2312" w:hAnsi="仿宋_GB2312" w:cs="仿宋_GB2312"/>
          <w:szCs w:val="32"/>
        </w:rPr>
        <w:t>》精神，受四川</w:t>
      </w:r>
      <w:r>
        <w:rPr>
          <w:rFonts w:hint="eastAsia" w:ascii="仿宋_GB2312" w:hAnsi="仿宋_GB2312" w:cs="仿宋_GB2312"/>
          <w:szCs w:val="32"/>
          <w:lang w:eastAsia="zh-Hans"/>
        </w:rPr>
        <w:t>遂宁高新技术产业园区管理委员会财政金融局</w:t>
      </w:r>
      <w:r>
        <w:rPr>
          <w:rFonts w:hint="eastAsia" w:ascii="仿宋_GB2312" w:hAnsi="仿宋_GB2312" w:cs="仿宋_GB2312"/>
          <w:szCs w:val="32"/>
        </w:rPr>
        <w:t>（以下简称</w:t>
      </w:r>
      <w:commentRangeStart w:id="0"/>
      <w:r>
        <w:rPr>
          <w:rFonts w:hint="eastAsia" w:ascii="仿宋_GB2312" w:hAnsi="仿宋_GB2312" w:cs="仿宋_GB2312"/>
          <w:szCs w:val="32"/>
        </w:rPr>
        <w:t>“</w:t>
      </w:r>
      <w:r>
        <w:rPr>
          <w:rFonts w:hint="eastAsia" w:ascii="仿宋_GB2312" w:hAnsi="仿宋_GB2312" w:cs="仿宋_GB2312"/>
          <w:szCs w:val="32"/>
          <w:lang w:eastAsia="zh-Hans"/>
        </w:rPr>
        <w:t>高新区财政局</w:t>
      </w:r>
      <w:r>
        <w:rPr>
          <w:rFonts w:hint="eastAsia" w:ascii="仿宋_GB2312" w:hAnsi="仿宋_GB2312" w:cs="仿宋_GB2312"/>
          <w:szCs w:val="32"/>
        </w:rPr>
        <w:t>”</w:t>
      </w:r>
      <w:commentRangeEnd w:id="0"/>
      <w:r>
        <w:commentReference w:id="0"/>
      </w:r>
      <w:r>
        <w:rPr>
          <w:rFonts w:hint="eastAsia" w:ascii="仿宋_GB2312" w:hAnsi="仿宋_GB2312" w:cs="仿宋_GB2312"/>
          <w:szCs w:val="32"/>
        </w:rPr>
        <w:t>）的委托，对</w:t>
      </w:r>
      <w:r>
        <w:rPr>
          <w:rFonts w:hint="eastAsia" w:ascii="Times New Roman" w:hAnsi="Times New Roman"/>
          <w:szCs w:val="32"/>
        </w:rPr>
        <w:t>2019</w:t>
      </w:r>
      <w:r>
        <w:rPr>
          <w:rFonts w:hint="eastAsia" w:ascii="仿宋_GB2312" w:hAnsi="仿宋_GB2312" w:cs="仿宋_GB2312"/>
          <w:szCs w:val="32"/>
        </w:rPr>
        <w:t>年度四川遂宁高新技术产业园区管理委员会科技创新与经济发展局（以下简称</w:t>
      </w:r>
      <w:commentRangeStart w:id="1"/>
      <w:r>
        <w:rPr>
          <w:rFonts w:hint="eastAsia" w:ascii="仿宋_GB2312" w:hAnsi="仿宋_GB2312" w:cs="仿宋_GB2312"/>
          <w:szCs w:val="32"/>
        </w:rPr>
        <w:t>“科创经发局”</w:t>
      </w:r>
      <w:commentRangeEnd w:id="1"/>
      <w:r>
        <w:commentReference w:id="1"/>
      </w:r>
      <w:r>
        <w:rPr>
          <w:rFonts w:hint="eastAsia" w:ascii="仿宋_GB2312" w:hAnsi="仿宋_GB2312" w:cs="仿宋_GB2312"/>
          <w:szCs w:val="32"/>
        </w:rPr>
        <w:t>）“物联亿达信息维护项目”开展绩效评价工作，遂宁市备至实业有限公司具体实施了本次评价工作。在实地调查、核实、收集、整理、汇总、分析绩效相关资料的基础上，对项目资金的使用、项目执行的效果进行汇总分析，形成了</w:t>
      </w:r>
      <w:r>
        <w:rPr>
          <w:rFonts w:ascii="Times New Roman" w:hAnsi="Times New Roman"/>
          <w:szCs w:val="32"/>
        </w:rPr>
        <w:t>2019</w:t>
      </w:r>
      <w:r>
        <w:rPr>
          <w:rFonts w:hint="eastAsia" w:ascii="仿宋_GB2312" w:hAnsi="仿宋_GB2312" w:cs="仿宋_GB2312"/>
          <w:szCs w:val="32"/>
        </w:rPr>
        <w:t>年度</w:t>
      </w:r>
      <w:commentRangeStart w:id="2"/>
      <w:r>
        <w:rPr>
          <w:rFonts w:hint="eastAsia" w:ascii="仿宋_GB2312" w:hAnsi="仿宋_GB2312" w:cs="仿宋_GB2312"/>
          <w:szCs w:val="32"/>
        </w:rPr>
        <w:t>科创经发局</w:t>
      </w:r>
      <w:commentRangeEnd w:id="2"/>
      <w:r>
        <w:commentReference w:id="2"/>
      </w:r>
      <w:r>
        <w:rPr>
          <w:rFonts w:hint="eastAsia" w:ascii="仿宋_GB2312" w:hAnsi="仿宋_GB2312" w:cs="仿宋_GB2312"/>
          <w:szCs w:val="32"/>
        </w:rPr>
        <w:t>“物联亿达信息维护项目”（以下简称“本项目”或“该项目”）绩效评价报告。现将该项目绩效评价情况报告如下：</w:t>
      </w:r>
    </w:p>
    <w:p>
      <w:pPr>
        <w:pStyle w:val="2"/>
        <w:spacing w:before="0" w:after="0" w:line="600" w:lineRule="auto"/>
        <w:rPr>
          <w:rFonts w:ascii="黑体" w:hAnsi="黑体" w:eastAsia="黑体"/>
          <w:sz w:val="32"/>
          <w:szCs w:val="32"/>
        </w:rPr>
      </w:pPr>
      <w:bookmarkStart w:id="1" w:name="_Toc56703369"/>
      <w:r>
        <w:rPr>
          <w:rFonts w:hint="eastAsia" w:ascii="黑体" w:hAnsi="黑体" w:eastAsia="黑体"/>
          <w:sz w:val="32"/>
          <w:szCs w:val="32"/>
        </w:rPr>
        <w:t>一、项目基本情况</w:t>
      </w:r>
      <w:bookmarkEnd w:id="1"/>
      <w:r>
        <w:rPr>
          <w:rFonts w:hint="eastAsia" w:ascii="黑体" w:hAnsi="黑体" w:eastAsia="黑体"/>
          <w:sz w:val="32"/>
          <w:szCs w:val="32"/>
        </w:rPr>
        <w:t xml:space="preserve"> </w:t>
      </w:r>
    </w:p>
    <w:p>
      <w:pPr>
        <w:pStyle w:val="3"/>
        <w:spacing w:before="240" w:after="240" w:line="480" w:lineRule="auto"/>
        <w:ind w:left="640" w:leftChars="200"/>
        <w:rPr>
          <w:rFonts w:ascii="楷体_GB2312" w:eastAsia="楷体_GB2312"/>
        </w:rPr>
      </w:pPr>
      <w:bookmarkStart w:id="2" w:name="_Toc56703370"/>
      <w:r>
        <w:rPr>
          <w:rFonts w:hint="eastAsia" w:ascii="楷体_GB2312" w:eastAsia="楷体_GB2312"/>
        </w:rPr>
        <w:t>（一）</w:t>
      </w:r>
      <w:r>
        <w:rPr>
          <w:rFonts w:hint="eastAsia" w:ascii="楷体_GB2312" w:eastAsia="楷体_GB2312"/>
          <w:lang w:eastAsia="zh-Hans"/>
        </w:rPr>
        <w:t>项目立项</w:t>
      </w:r>
      <w:bookmarkStart w:id="3" w:name="_Toc24589_WPSOffice_Level3"/>
      <w:r>
        <w:rPr>
          <w:rFonts w:hint="eastAsia" w:ascii="楷体_GB2312" w:eastAsia="楷体_GB2312"/>
        </w:rPr>
        <w:t>与批复情况</w:t>
      </w:r>
      <w:bookmarkEnd w:id="2"/>
      <w:bookmarkEnd w:id="3"/>
    </w:p>
    <w:p>
      <w:pPr>
        <w:spacing w:line="600" w:lineRule="exact"/>
        <w:ind w:firstLine="640" w:firstLineChars="200"/>
        <w:rPr>
          <w:rFonts w:ascii="仿宋_GB2312" w:hAnsi="仿宋_GB2312" w:cs="仿宋_GB2312"/>
          <w:szCs w:val="32"/>
        </w:rPr>
      </w:pPr>
      <w:r>
        <w:rPr>
          <w:rFonts w:hint="eastAsia" w:ascii="仿宋_GB2312" w:hAnsi="仿宋_GB2312" w:cs="仿宋_GB2312"/>
          <w:szCs w:val="32"/>
        </w:rPr>
        <w:t>本项目无立项申请与批复文件。</w:t>
      </w:r>
    </w:p>
    <w:p>
      <w:pPr>
        <w:pStyle w:val="3"/>
        <w:spacing w:before="240" w:after="240" w:line="480" w:lineRule="auto"/>
        <w:ind w:left="640" w:leftChars="200"/>
        <w:rPr>
          <w:rFonts w:ascii="楷体_GB2312" w:eastAsia="楷体_GB2312"/>
          <w:lang w:eastAsia="zh-Hans"/>
        </w:rPr>
      </w:pPr>
      <w:bookmarkStart w:id="4" w:name="_Toc56703371"/>
      <w:r>
        <w:rPr>
          <w:rFonts w:hint="eastAsia" w:ascii="楷体_GB2312" w:eastAsia="楷体_GB2312"/>
        </w:rPr>
        <w:t>（二）</w:t>
      </w:r>
      <w:r>
        <w:rPr>
          <w:rFonts w:hint="eastAsia" w:ascii="楷体_GB2312" w:eastAsia="楷体_GB2312"/>
          <w:lang w:eastAsia="zh-Hans"/>
        </w:rPr>
        <w:t>项目实施情况</w:t>
      </w:r>
      <w:bookmarkEnd w:id="4"/>
    </w:p>
    <w:p>
      <w:pPr>
        <w:widowControl/>
        <w:spacing w:line="600" w:lineRule="exact"/>
        <w:ind w:firstLine="640" w:firstLineChars="200"/>
        <w:rPr>
          <w:rFonts w:ascii="仿宋_GB2312" w:hAnsi="仿宋_GB2312" w:cs="仿宋_GB2312"/>
          <w:szCs w:val="32"/>
        </w:rPr>
      </w:pPr>
      <w:r>
        <w:rPr>
          <w:rFonts w:hint="eastAsia" w:ascii="仿宋_GB2312" w:hAnsi="仿宋_GB2312" w:cs="仿宋_GB2312"/>
          <w:szCs w:val="32"/>
        </w:rPr>
        <w:t>本项目由</w:t>
      </w:r>
      <w:commentRangeStart w:id="3"/>
      <w:r>
        <w:rPr>
          <w:rFonts w:hint="eastAsia" w:ascii="仿宋_GB2312" w:hAnsi="仿宋_GB2312" w:cs="仿宋_GB2312"/>
          <w:szCs w:val="32"/>
        </w:rPr>
        <w:t>科创经发局</w:t>
      </w:r>
      <w:commentRangeEnd w:id="3"/>
      <w:r>
        <w:commentReference w:id="3"/>
      </w:r>
      <w:r>
        <w:rPr>
          <w:rFonts w:hint="eastAsia" w:ascii="仿宋_GB2312" w:hAnsi="仿宋_GB2312" w:cs="仿宋_GB2312"/>
          <w:szCs w:val="32"/>
        </w:rPr>
        <w:t>负责实施。根据2012年中国西部现代物流港管理委员会与四川物联亿达科技有限公司签订的《中国西部现代物流港管委会物流公共信息平台项目合作协议书》第4.1条关于项目集成服务费用内容约定：“物流公共信息平台整体验收后，进入正式的整体运行，整体运行第一年内的维护费用已含在此集成服务费用中，第二年开始，每年维护及运营费为人民币50万(大写:伍拾万元整)”。</w:t>
      </w:r>
      <w:r>
        <w:rPr>
          <w:rFonts w:hint="eastAsia"/>
        </w:rPr>
        <w:t>2019年维护费金额发生变化，未签订变更协议。</w:t>
      </w:r>
      <w:r>
        <w:rPr>
          <w:rFonts w:hint="eastAsia" w:ascii="仿宋_GB2312" w:hAnsi="仿宋_GB2312" w:cs="仿宋_GB2312"/>
          <w:szCs w:val="32"/>
        </w:rPr>
        <w:t>于2</w:t>
      </w:r>
      <w:r>
        <w:rPr>
          <w:rFonts w:ascii="仿宋_GB2312" w:hAnsi="仿宋_GB2312" w:cs="仿宋_GB2312"/>
          <w:szCs w:val="32"/>
        </w:rPr>
        <w:t>019</w:t>
      </w:r>
      <w:r>
        <w:rPr>
          <w:rFonts w:hint="eastAsia" w:ascii="仿宋_GB2312" w:hAnsi="仿宋_GB2312" w:cs="仿宋_GB2312"/>
          <w:szCs w:val="32"/>
        </w:rPr>
        <w:t>年1</w:t>
      </w:r>
      <w:r>
        <w:rPr>
          <w:rFonts w:ascii="仿宋_GB2312" w:hAnsi="仿宋_GB2312" w:cs="仿宋_GB2312"/>
          <w:szCs w:val="32"/>
        </w:rPr>
        <w:t>2</w:t>
      </w:r>
      <w:r>
        <w:rPr>
          <w:rFonts w:hint="eastAsia" w:ascii="仿宋_GB2312" w:hAnsi="仿宋_GB2312" w:cs="仿宋_GB2312"/>
          <w:szCs w:val="32"/>
        </w:rPr>
        <w:t>月1</w:t>
      </w:r>
      <w:r>
        <w:rPr>
          <w:rFonts w:ascii="仿宋_GB2312" w:hAnsi="仿宋_GB2312" w:cs="仿宋_GB2312"/>
          <w:szCs w:val="32"/>
        </w:rPr>
        <w:t>9</w:t>
      </w:r>
      <w:r>
        <w:rPr>
          <w:rFonts w:hint="eastAsia" w:ascii="仿宋_GB2312" w:hAnsi="仿宋_GB2312" w:cs="仿宋_GB2312"/>
          <w:szCs w:val="32"/>
        </w:rPr>
        <w:t>日由</w:t>
      </w:r>
      <w:commentRangeStart w:id="4"/>
      <w:r>
        <w:rPr>
          <w:rFonts w:hint="eastAsia" w:ascii="仿宋_GB2312" w:hAnsi="仿宋_GB2312" w:cs="仿宋_GB2312"/>
          <w:szCs w:val="32"/>
        </w:rPr>
        <w:t>科创经发局</w:t>
      </w:r>
      <w:commentRangeEnd w:id="4"/>
      <w:r>
        <w:commentReference w:id="4"/>
      </w:r>
      <w:r>
        <w:rPr>
          <w:rFonts w:hint="eastAsia" w:ascii="仿宋_GB2312" w:hAnsi="仿宋_GB2312" w:cs="仿宋_GB2312"/>
          <w:szCs w:val="32"/>
        </w:rPr>
        <w:t>向四川物联亿达科技有限公司支付了4</w:t>
      </w:r>
      <w:r>
        <w:rPr>
          <w:rFonts w:ascii="仿宋_GB2312" w:hAnsi="仿宋_GB2312" w:cs="仿宋_GB2312"/>
          <w:szCs w:val="32"/>
        </w:rPr>
        <w:t>0</w:t>
      </w:r>
      <w:r>
        <w:rPr>
          <w:rFonts w:hint="eastAsia" w:ascii="仿宋_GB2312" w:hAnsi="仿宋_GB2312" w:cs="仿宋_GB2312"/>
          <w:szCs w:val="32"/>
        </w:rPr>
        <w:t>万元维护服务费用。</w:t>
      </w:r>
    </w:p>
    <w:p>
      <w:pPr>
        <w:pStyle w:val="3"/>
        <w:numPr>
          <w:ilvl w:val="0"/>
          <w:numId w:val="1"/>
        </w:numPr>
        <w:spacing w:before="240" w:after="240" w:line="480" w:lineRule="auto"/>
        <w:ind w:left="640" w:leftChars="200"/>
        <w:rPr>
          <w:rFonts w:ascii="楷体_GB2312" w:eastAsia="楷体_GB2312"/>
          <w:lang w:eastAsia="zh-Hans"/>
        </w:rPr>
      </w:pPr>
      <w:bookmarkStart w:id="5" w:name="_Toc56703372"/>
      <w:r>
        <w:rPr>
          <w:rFonts w:hint="eastAsia" w:ascii="楷体_GB2312" w:eastAsia="楷体_GB2312"/>
        </w:rPr>
        <w:t>项目资金</w:t>
      </w:r>
      <w:r>
        <w:rPr>
          <w:rFonts w:hint="eastAsia" w:ascii="楷体_GB2312" w:eastAsia="楷体_GB2312"/>
          <w:lang w:eastAsia="zh-Hans"/>
        </w:rPr>
        <w:t>来源和使用情况</w:t>
      </w:r>
      <w:bookmarkEnd w:id="5"/>
    </w:p>
    <w:p>
      <w:pPr>
        <w:pStyle w:val="4"/>
        <w:spacing w:before="120" w:after="120" w:line="480" w:lineRule="auto"/>
        <w:ind w:left="640" w:leftChars="200"/>
        <w:rPr>
          <w:rFonts w:ascii="仿宋_GB2312"/>
          <w:b w:val="0"/>
          <w:bCs w:val="0"/>
        </w:rPr>
      </w:pPr>
      <w:bookmarkStart w:id="6" w:name="_Toc56703373"/>
      <w:r>
        <w:rPr>
          <w:rFonts w:hint="eastAsia" w:ascii="仿宋_GB2312"/>
          <w:b w:val="0"/>
          <w:bCs w:val="0"/>
        </w:rPr>
        <w:t>1.项目资金来源</w:t>
      </w:r>
      <w:bookmarkEnd w:id="6"/>
    </w:p>
    <w:tbl>
      <w:tblPr>
        <w:tblStyle w:val="13"/>
        <w:tblW w:w="83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4460"/>
        <w:gridCol w:w="39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11" w:hRule="atLeast"/>
          <w:jc w:val="center"/>
        </w:trPr>
        <w:tc>
          <w:tcPr>
            <w:tcW w:w="4460" w:type="dxa"/>
            <w:shd w:val="clear" w:color="auto" w:fill="auto"/>
            <w:tcMar>
              <w:top w:w="10" w:type="dxa"/>
              <w:left w:w="10" w:type="dxa"/>
              <w:right w:w="10" w:type="dxa"/>
            </w:tcMar>
          </w:tcPr>
          <w:p>
            <w:pPr>
              <w:widowControl/>
              <w:jc w:val="center"/>
              <w:textAlignment w:val="top"/>
              <w:rPr>
                <w:rFonts w:ascii="仿宋_GB2312" w:hAnsi="仿宋_GB2312" w:cs="仿宋_GB2312"/>
                <w:b/>
                <w:color w:val="000000"/>
                <w:sz w:val="28"/>
                <w:szCs w:val="28"/>
              </w:rPr>
            </w:pPr>
            <w:r>
              <w:rPr>
                <w:rFonts w:hint="eastAsia" w:ascii="仿宋_GB2312" w:hAnsi="仿宋_GB2312" w:cs="仿宋_GB2312"/>
                <w:b/>
                <w:color w:val="000000"/>
                <w:kern w:val="0"/>
                <w:sz w:val="28"/>
                <w:szCs w:val="28"/>
                <w:lang w:bidi="ar"/>
              </w:rPr>
              <w:t>资金来源</w:t>
            </w:r>
          </w:p>
        </w:tc>
        <w:tc>
          <w:tcPr>
            <w:tcW w:w="3939" w:type="dxa"/>
            <w:shd w:val="clear" w:color="auto" w:fill="auto"/>
            <w:tcMar>
              <w:top w:w="10" w:type="dxa"/>
              <w:left w:w="10" w:type="dxa"/>
              <w:right w:w="10" w:type="dxa"/>
            </w:tcMar>
          </w:tcPr>
          <w:p>
            <w:pPr>
              <w:widowControl/>
              <w:jc w:val="center"/>
              <w:textAlignment w:val="top"/>
              <w:rPr>
                <w:rFonts w:ascii="仿宋_GB2312" w:hAnsi="仿宋_GB2312" w:cs="仿宋_GB2312"/>
                <w:b/>
                <w:color w:val="000000"/>
                <w:sz w:val="28"/>
                <w:szCs w:val="28"/>
              </w:rPr>
            </w:pPr>
            <w:r>
              <w:rPr>
                <w:rFonts w:hint="eastAsia" w:ascii="仿宋_GB2312" w:hAnsi="仿宋_GB2312" w:cs="仿宋_GB2312"/>
                <w:b/>
                <w:color w:val="000000"/>
                <w:kern w:val="0"/>
                <w:sz w:val="28"/>
                <w:szCs w:val="28"/>
                <w:lang w:bidi="ar"/>
              </w:rPr>
              <w:t>金额（万元）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18" w:hRule="atLeast"/>
          <w:jc w:val="center"/>
        </w:trPr>
        <w:tc>
          <w:tcPr>
            <w:tcW w:w="4460" w:type="dxa"/>
            <w:shd w:val="clear" w:color="auto" w:fill="auto"/>
            <w:tcMar>
              <w:top w:w="10" w:type="dxa"/>
              <w:left w:w="10" w:type="dxa"/>
              <w:right w:w="10" w:type="dxa"/>
            </w:tcMar>
            <w:vAlign w:val="center"/>
          </w:tcPr>
          <w:p>
            <w:pPr>
              <w:widowControl/>
              <w:jc w:val="center"/>
              <w:textAlignment w:val="center"/>
              <w:rPr>
                <w:rFonts w:ascii="仿宋_GB2312" w:hAnsi="仿宋_GB2312" w:cs="仿宋_GB2312"/>
                <w:color w:val="000000"/>
                <w:sz w:val="28"/>
                <w:szCs w:val="28"/>
              </w:rPr>
            </w:pPr>
            <w:r>
              <w:rPr>
                <w:rFonts w:hint="eastAsia" w:ascii="仿宋_GB2312" w:hAnsi="仿宋_GB2312" w:cs="仿宋_GB2312"/>
                <w:color w:val="000000"/>
                <w:kern w:val="0"/>
                <w:sz w:val="28"/>
                <w:szCs w:val="28"/>
                <w:lang w:bidi="ar"/>
              </w:rPr>
              <w:t>2019年区级财政资金</w:t>
            </w:r>
          </w:p>
        </w:tc>
        <w:tc>
          <w:tcPr>
            <w:tcW w:w="3939" w:type="dxa"/>
            <w:shd w:val="clear" w:color="auto" w:fill="auto"/>
            <w:tcMar>
              <w:top w:w="10" w:type="dxa"/>
              <w:left w:w="10" w:type="dxa"/>
              <w:right w:w="10" w:type="dxa"/>
            </w:tcMar>
            <w:vAlign w:val="center"/>
          </w:tcPr>
          <w:p>
            <w:pPr>
              <w:widowControl/>
              <w:jc w:val="center"/>
              <w:textAlignment w:val="center"/>
              <w:rPr>
                <w:rFonts w:ascii="仿宋_GB2312" w:hAnsi="仿宋_GB2312" w:cs="仿宋_GB2312"/>
                <w:color w:val="000000"/>
                <w:sz w:val="28"/>
                <w:szCs w:val="28"/>
              </w:rPr>
            </w:pPr>
            <w:r>
              <w:rPr>
                <w:rFonts w:hint="eastAsia" w:ascii="仿宋_GB2312" w:hAnsi="仿宋_GB2312" w:cs="仿宋_GB2312"/>
                <w:color w:val="000000"/>
                <w:kern w:val="0"/>
                <w:sz w:val="28"/>
                <w:szCs w:val="28"/>
                <w:lang w:bidi="ar"/>
              </w:rPr>
              <w:t>40</w:t>
            </w:r>
          </w:p>
        </w:tc>
      </w:tr>
    </w:tbl>
    <w:p>
      <w:pPr>
        <w:pStyle w:val="4"/>
        <w:spacing w:before="120" w:after="120" w:line="480" w:lineRule="auto"/>
        <w:ind w:left="640" w:leftChars="200"/>
        <w:rPr>
          <w:rFonts w:ascii="仿宋_GB2312"/>
          <w:b w:val="0"/>
          <w:bCs w:val="0"/>
        </w:rPr>
      </w:pPr>
      <w:bookmarkStart w:id="7" w:name="_Toc56703374"/>
      <w:r>
        <w:rPr>
          <w:rFonts w:hint="eastAsia" w:ascii="仿宋_GB2312"/>
          <w:b w:val="0"/>
          <w:bCs w:val="0"/>
        </w:rPr>
        <w:t>2.项目资金使用情况</w:t>
      </w:r>
      <w:bookmarkEnd w:id="7"/>
    </w:p>
    <w:tbl>
      <w:tblPr>
        <w:tblStyle w:val="13"/>
        <w:tblW w:w="894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761"/>
        <w:gridCol w:w="2595"/>
        <w:gridCol w:w="3116"/>
        <w:gridCol w:w="14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1761" w:type="dxa"/>
            <w:shd w:val="clear" w:color="auto" w:fill="auto"/>
            <w:tcMar>
              <w:top w:w="10" w:type="dxa"/>
              <w:left w:w="10" w:type="dxa"/>
              <w:right w:w="10" w:type="dxa"/>
            </w:tcMar>
            <w:vAlign w:val="center"/>
          </w:tcPr>
          <w:p>
            <w:pPr>
              <w:widowControl/>
              <w:spacing w:line="300" w:lineRule="exact"/>
              <w:jc w:val="center"/>
              <w:textAlignment w:val="center"/>
              <w:rPr>
                <w:rFonts w:ascii="华文楷体" w:hAnsi="华文楷体" w:eastAsia="华文楷体" w:cs="华文楷体"/>
                <w:b/>
                <w:color w:val="000000"/>
                <w:sz w:val="28"/>
                <w:szCs w:val="28"/>
              </w:rPr>
            </w:pPr>
            <w:r>
              <w:rPr>
                <w:rFonts w:hint="eastAsia" w:ascii="华文楷体" w:hAnsi="华文楷体" w:eastAsia="华文楷体" w:cs="华文楷体"/>
                <w:b/>
                <w:color w:val="000000"/>
                <w:kern w:val="0"/>
                <w:sz w:val="28"/>
                <w:szCs w:val="28"/>
                <w:lang w:bidi="ar"/>
              </w:rPr>
              <w:t>项目名称</w:t>
            </w:r>
          </w:p>
        </w:tc>
        <w:tc>
          <w:tcPr>
            <w:tcW w:w="2595" w:type="dxa"/>
            <w:shd w:val="clear" w:color="auto" w:fill="auto"/>
            <w:tcMar>
              <w:top w:w="10" w:type="dxa"/>
              <w:left w:w="10" w:type="dxa"/>
              <w:right w:w="10" w:type="dxa"/>
            </w:tcMar>
            <w:vAlign w:val="center"/>
          </w:tcPr>
          <w:p>
            <w:pPr>
              <w:widowControl/>
              <w:spacing w:line="300" w:lineRule="exact"/>
              <w:jc w:val="center"/>
              <w:textAlignment w:val="center"/>
              <w:rPr>
                <w:rFonts w:ascii="华文楷体" w:hAnsi="华文楷体" w:eastAsia="华文楷体" w:cs="华文楷体"/>
                <w:b/>
                <w:color w:val="000000"/>
                <w:sz w:val="28"/>
                <w:szCs w:val="28"/>
              </w:rPr>
            </w:pPr>
            <w:r>
              <w:rPr>
                <w:rFonts w:hint="eastAsia" w:ascii="华文楷体" w:hAnsi="华文楷体" w:eastAsia="华文楷体" w:cs="华文楷体"/>
                <w:b/>
                <w:color w:val="000000"/>
                <w:kern w:val="0"/>
                <w:sz w:val="28"/>
                <w:szCs w:val="28"/>
                <w:lang w:bidi="ar"/>
              </w:rPr>
              <w:t>支付摘要</w:t>
            </w:r>
          </w:p>
        </w:tc>
        <w:tc>
          <w:tcPr>
            <w:tcW w:w="3116" w:type="dxa"/>
            <w:shd w:val="clear" w:color="auto" w:fill="auto"/>
            <w:tcMar>
              <w:top w:w="10" w:type="dxa"/>
              <w:left w:w="10" w:type="dxa"/>
              <w:right w:w="10" w:type="dxa"/>
            </w:tcMar>
            <w:vAlign w:val="center"/>
          </w:tcPr>
          <w:p>
            <w:pPr>
              <w:widowControl/>
              <w:spacing w:line="300" w:lineRule="exact"/>
              <w:jc w:val="center"/>
              <w:textAlignment w:val="center"/>
              <w:rPr>
                <w:rFonts w:ascii="华文楷体" w:hAnsi="华文楷体" w:eastAsia="华文楷体" w:cs="华文楷体"/>
                <w:b/>
                <w:color w:val="000000"/>
                <w:sz w:val="28"/>
                <w:szCs w:val="28"/>
              </w:rPr>
            </w:pPr>
            <w:r>
              <w:rPr>
                <w:rFonts w:hint="eastAsia" w:ascii="华文楷体" w:hAnsi="华文楷体" w:eastAsia="华文楷体" w:cs="华文楷体"/>
                <w:b/>
                <w:color w:val="000000"/>
                <w:kern w:val="0"/>
                <w:sz w:val="28"/>
                <w:szCs w:val="28"/>
                <w:lang w:bidi="ar"/>
              </w:rPr>
              <w:t>实施方/供应商</w:t>
            </w:r>
          </w:p>
        </w:tc>
        <w:tc>
          <w:tcPr>
            <w:tcW w:w="1469" w:type="dxa"/>
            <w:shd w:val="clear" w:color="auto" w:fill="auto"/>
            <w:tcMar>
              <w:top w:w="10" w:type="dxa"/>
              <w:left w:w="10" w:type="dxa"/>
              <w:right w:w="10" w:type="dxa"/>
            </w:tcMar>
            <w:vAlign w:val="center"/>
          </w:tcPr>
          <w:p>
            <w:pPr>
              <w:widowControl/>
              <w:spacing w:line="300" w:lineRule="exact"/>
              <w:jc w:val="center"/>
              <w:textAlignment w:val="center"/>
              <w:rPr>
                <w:rFonts w:ascii="华文楷体" w:hAnsi="华文楷体" w:eastAsia="华文楷体" w:cs="华文楷体"/>
                <w:b/>
                <w:color w:val="000000"/>
                <w:kern w:val="0"/>
                <w:sz w:val="28"/>
                <w:szCs w:val="28"/>
                <w:lang w:bidi="ar"/>
              </w:rPr>
            </w:pPr>
            <w:r>
              <w:rPr>
                <w:rFonts w:hint="eastAsia" w:ascii="华文楷体" w:hAnsi="华文楷体" w:eastAsia="华文楷体" w:cs="华文楷体"/>
                <w:b/>
                <w:color w:val="000000"/>
                <w:kern w:val="0"/>
                <w:sz w:val="28"/>
                <w:szCs w:val="28"/>
                <w:lang w:bidi="ar"/>
              </w:rPr>
              <w:t>支付金额</w:t>
            </w:r>
          </w:p>
          <w:p>
            <w:pPr>
              <w:widowControl/>
              <w:spacing w:line="300" w:lineRule="exact"/>
              <w:jc w:val="center"/>
              <w:textAlignment w:val="center"/>
              <w:rPr>
                <w:rFonts w:ascii="华文楷体" w:hAnsi="华文楷体" w:eastAsia="华文楷体" w:cs="华文楷体"/>
                <w:b/>
                <w:color w:val="000000"/>
                <w:sz w:val="28"/>
                <w:szCs w:val="28"/>
              </w:rPr>
            </w:pPr>
            <w:r>
              <w:rPr>
                <w:rFonts w:hint="eastAsia" w:ascii="华文楷体" w:hAnsi="华文楷体" w:eastAsia="华文楷体" w:cs="华文楷体"/>
                <w:b/>
                <w:color w:val="000000"/>
                <w:kern w:val="0"/>
                <w:sz w:val="28"/>
                <w:szCs w:val="28"/>
                <w:lang w:bidi="ar"/>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1761" w:type="dxa"/>
            <w:shd w:val="clear" w:color="auto" w:fill="auto"/>
            <w:tcMar>
              <w:top w:w="10" w:type="dxa"/>
              <w:left w:w="10" w:type="dxa"/>
              <w:right w:w="10" w:type="dxa"/>
            </w:tcMar>
            <w:vAlign w:val="center"/>
          </w:tcPr>
          <w:p>
            <w:pPr>
              <w:widowControl/>
              <w:spacing w:line="300" w:lineRule="exact"/>
              <w:jc w:val="center"/>
              <w:textAlignment w:val="center"/>
              <w:rPr>
                <w:rFonts w:ascii="仿宋_GB2312" w:hAnsi="仿宋_GB2312" w:cs="仿宋_GB2312"/>
                <w:sz w:val="28"/>
                <w:szCs w:val="28"/>
              </w:rPr>
            </w:pPr>
            <w:r>
              <w:rPr>
                <w:rFonts w:hint="eastAsia" w:ascii="仿宋_GB2312" w:hAnsi="仿宋_GB2312" w:cs="仿宋_GB2312"/>
                <w:sz w:val="28"/>
                <w:szCs w:val="28"/>
              </w:rPr>
              <w:t>物联亿达信息维护项目</w:t>
            </w:r>
          </w:p>
        </w:tc>
        <w:tc>
          <w:tcPr>
            <w:tcW w:w="2595" w:type="dxa"/>
            <w:shd w:val="clear" w:color="auto" w:fill="auto"/>
            <w:tcMar>
              <w:top w:w="10" w:type="dxa"/>
              <w:left w:w="10" w:type="dxa"/>
              <w:right w:w="10" w:type="dxa"/>
            </w:tcMar>
            <w:vAlign w:val="center"/>
          </w:tcPr>
          <w:p>
            <w:pPr>
              <w:widowControl/>
              <w:spacing w:line="300" w:lineRule="exact"/>
              <w:jc w:val="center"/>
              <w:textAlignment w:val="center"/>
              <w:rPr>
                <w:rFonts w:ascii="仿宋_GB2312" w:hAnsi="仿宋_GB2312" w:cs="仿宋_GB2312"/>
                <w:sz w:val="28"/>
                <w:szCs w:val="28"/>
              </w:rPr>
            </w:pPr>
            <w:r>
              <w:rPr>
                <w:rFonts w:hint="eastAsia" w:ascii="仿宋_GB2312" w:hAnsi="仿宋_GB2312" w:cs="仿宋_GB2312"/>
                <w:sz w:val="28"/>
                <w:szCs w:val="28"/>
              </w:rPr>
              <w:t>2019年物联亿达公共信息平台维护费</w:t>
            </w:r>
          </w:p>
        </w:tc>
        <w:tc>
          <w:tcPr>
            <w:tcW w:w="3116" w:type="dxa"/>
            <w:shd w:val="clear" w:color="auto" w:fill="auto"/>
            <w:tcMar>
              <w:top w:w="10" w:type="dxa"/>
              <w:left w:w="10" w:type="dxa"/>
              <w:right w:w="10" w:type="dxa"/>
            </w:tcMar>
            <w:vAlign w:val="center"/>
          </w:tcPr>
          <w:p>
            <w:pPr>
              <w:widowControl/>
              <w:spacing w:line="300" w:lineRule="exact"/>
              <w:jc w:val="center"/>
              <w:textAlignment w:val="center"/>
              <w:rPr>
                <w:rFonts w:ascii="仿宋_GB2312" w:hAnsi="华文楷体" w:cs="华文楷体"/>
                <w:color w:val="000000"/>
                <w:sz w:val="28"/>
                <w:szCs w:val="28"/>
              </w:rPr>
            </w:pPr>
            <w:r>
              <w:rPr>
                <w:rFonts w:hint="eastAsia" w:ascii="仿宋_GB2312" w:hAnsi="仿宋_GB2312" w:cs="仿宋_GB2312"/>
                <w:sz w:val="28"/>
                <w:szCs w:val="28"/>
                <w:lang w:eastAsia="zh-Hans"/>
              </w:rPr>
              <w:t>四川物联亿达科技有限公司</w:t>
            </w:r>
          </w:p>
        </w:tc>
        <w:tc>
          <w:tcPr>
            <w:tcW w:w="1469" w:type="dxa"/>
            <w:shd w:val="clear" w:color="auto" w:fill="auto"/>
            <w:tcMar>
              <w:top w:w="10" w:type="dxa"/>
              <w:left w:w="10" w:type="dxa"/>
              <w:right w:w="10" w:type="dxa"/>
            </w:tcMar>
            <w:vAlign w:val="center"/>
          </w:tcPr>
          <w:p>
            <w:pPr>
              <w:widowControl/>
              <w:spacing w:line="300" w:lineRule="exact"/>
              <w:jc w:val="center"/>
              <w:textAlignment w:val="center"/>
              <w:rPr>
                <w:rFonts w:ascii="仿宋_GB2312" w:hAnsi="华文楷体" w:cs="华文楷体"/>
                <w:color w:val="000000"/>
                <w:sz w:val="28"/>
                <w:szCs w:val="28"/>
              </w:rPr>
            </w:pPr>
            <w:r>
              <w:rPr>
                <w:rFonts w:hint="eastAsia" w:ascii="仿宋_GB2312" w:hAnsi="华文楷体" w:cs="华文楷体"/>
                <w:color w:val="000000"/>
                <w:kern w:val="0"/>
                <w:sz w:val="28"/>
                <w:szCs w:val="28"/>
                <w:lang w:bidi="ar"/>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92" w:hRule="atLeast"/>
          <w:jc w:val="center"/>
        </w:trPr>
        <w:tc>
          <w:tcPr>
            <w:tcW w:w="4356" w:type="dxa"/>
            <w:gridSpan w:val="2"/>
            <w:shd w:val="clear" w:color="auto" w:fill="auto"/>
            <w:tcMar>
              <w:top w:w="10" w:type="dxa"/>
              <w:left w:w="10" w:type="dxa"/>
              <w:right w:w="10" w:type="dxa"/>
            </w:tcMar>
            <w:vAlign w:val="center"/>
          </w:tcPr>
          <w:p>
            <w:pPr>
              <w:widowControl/>
              <w:spacing w:line="300" w:lineRule="exact"/>
              <w:jc w:val="center"/>
              <w:textAlignment w:val="center"/>
              <w:rPr>
                <w:rFonts w:ascii="仿宋_GB2312" w:hAnsi="华文楷体" w:cs="华文楷体"/>
                <w:b/>
                <w:color w:val="000000"/>
                <w:sz w:val="28"/>
                <w:szCs w:val="28"/>
              </w:rPr>
            </w:pPr>
            <w:r>
              <w:rPr>
                <w:rFonts w:hint="eastAsia" w:ascii="仿宋_GB2312" w:hAnsi="华文楷体" w:cs="华文楷体"/>
                <w:b/>
                <w:color w:val="000000"/>
                <w:kern w:val="0"/>
                <w:sz w:val="28"/>
                <w:szCs w:val="28"/>
                <w:lang w:bidi="ar"/>
              </w:rPr>
              <w:t>合 计</w:t>
            </w:r>
          </w:p>
        </w:tc>
        <w:tc>
          <w:tcPr>
            <w:tcW w:w="3116" w:type="dxa"/>
            <w:shd w:val="clear" w:color="auto" w:fill="auto"/>
            <w:tcMar>
              <w:top w:w="10" w:type="dxa"/>
              <w:left w:w="10" w:type="dxa"/>
              <w:right w:w="10" w:type="dxa"/>
            </w:tcMar>
            <w:vAlign w:val="center"/>
          </w:tcPr>
          <w:p>
            <w:pPr>
              <w:spacing w:line="300" w:lineRule="exact"/>
              <w:jc w:val="right"/>
              <w:rPr>
                <w:rFonts w:ascii="仿宋_GB2312" w:hAnsi="华文楷体" w:cs="华文楷体"/>
                <w:b/>
                <w:color w:val="000000"/>
                <w:sz w:val="28"/>
                <w:szCs w:val="28"/>
              </w:rPr>
            </w:pPr>
          </w:p>
        </w:tc>
        <w:tc>
          <w:tcPr>
            <w:tcW w:w="1469" w:type="dxa"/>
            <w:shd w:val="clear" w:color="auto" w:fill="auto"/>
            <w:tcMar>
              <w:top w:w="10" w:type="dxa"/>
              <w:left w:w="10" w:type="dxa"/>
              <w:right w:w="10" w:type="dxa"/>
            </w:tcMar>
            <w:vAlign w:val="center"/>
          </w:tcPr>
          <w:p>
            <w:pPr>
              <w:widowControl/>
              <w:spacing w:line="300" w:lineRule="exact"/>
              <w:jc w:val="center"/>
              <w:textAlignment w:val="center"/>
              <w:rPr>
                <w:rFonts w:ascii="仿宋_GB2312" w:hAnsi="华文楷体" w:cs="华文楷体"/>
                <w:b/>
                <w:color w:val="000000"/>
                <w:sz w:val="28"/>
                <w:szCs w:val="28"/>
              </w:rPr>
            </w:pPr>
            <w:r>
              <w:rPr>
                <w:rFonts w:hint="eastAsia" w:ascii="仿宋_GB2312" w:hAnsi="华文楷体" w:cs="华文楷体"/>
                <w:b/>
                <w:color w:val="000000"/>
                <w:sz w:val="28"/>
                <w:szCs w:val="28"/>
              </w:rPr>
              <w:t>40</w:t>
            </w:r>
          </w:p>
        </w:tc>
      </w:tr>
    </w:tbl>
    <w:p>
      <w:pPr>
        <w:pStyle w:val="2"/>
        <w:spacing w:before="0" w:after="0" w:line="600" w:lineRule="auto"/>
        <w:rPr>
          <w:rFonts w:ascii="黑体" w:hAnsi="黑体" w:eastAsia="黑体"/>
          <w:sz w:val="32"/>
          <w:szCs w:val="32"/>
        </w:rPr>
      </w:pPr>
      <w:bookmarkStart w:id="8" w:name="_Toc56703375"/>
      <w:r>
        <w:rPr>
          <w:rFonts w:hint="eastAsia" w:ascii="黑体" w:hAnsi="黑体" w:eastAsia="黑体"/>
          <w:sz w:val="32"/>
          <w:szCs w:val="32"/>
        </w:rPr>
        <w:t>二、评价工作开展情况</w:t>
      </w:r>
      <w:bookmarkEnd w:id="8"/>
    </w:p>
    <w:p>
      <w:pPr>
        <w:pStyle w:val="3"/>
        <w:spacing w:before="240" w:after="240" w:line="480" w:lineRule="auto"/>
        <w:ind w:left="640" w:leftChars="200"/>
        <w:rPr>
          <w:rFonts w:ascii="楷体_GB2312" w:eastAsia="楷体_GB2312"/>
          <w:lang w:eastAsia="zh-Hans"/>
        </w:rPr>
      </w:pPr>
      <w:bookmarkStart w:id="9" w:name="_Toc56703376"/>
      <w:r>
        <w:rPr>
          <w:rFonts w:hint="eastAsia" w:ascii="楷体_GB2312" w:eastAsia="楷体_GB2312"/>
          <w:lang w:eastAsia="zh-Hans"/>
        </w:rPr>
        <w:t>（一）绩效评价目的</w:t>
      </w:r>
      <w:bookmarkEnd w:id="9"/>
    </w:p>
    <w:p>
      <w:pPr>
        <w:widowControl/>
        <w:spacing w:line="600" w:lineRule="exact"/>
        <w:ind w:left="561" w:firstLine="748" w:firstLineChars="234"/>
        <w:rPr>
          <w:rFonts w:ascii="仿宋_GB2312" w:hAnsi="仿宋_GB2312" w:cs="仿宋_GB2312"/>
          <w:szCs w:val="32"/>
        </w:rPr>
      </w:pPr>
      <w:r>
        <w:rPr>
          <w:rFonts w:hint="eastAsia" w:ascii="仿宋_GB2312" w:hAnsi="仿宋_GB2312" w:cs="仿宋_GB2312"/>
          <w:szCs w:val="32"/>
        </w:rPr>
        <w:t>通过综合运用各种评价方法，按照项目决策、项目管理、项目绩效等三类绩效评价指标体系对项目进行评分，对该项目专项资金使用的经济性、效率性、效益性和公平性进行客观、公正的测量、分析和评判，评价该项目实施后是否达到既定的绩效目标，财政资金使用是否发挥了既定的效果。</w:t>
      </w:r>
    </w:p>
    <w:p>
      <w:pPr>
        <w:pStyle w:val="3"/>
        <w:numPr>
          <w:ilvl w:val="0"/>
          <w:numId w:val="2"/>
        </w:numPr>
        <w:spacing w:before="240" w:after="240" w:line="480" w:lineRule="auto"/>
        <w:ind w:left="640" w:leftChars="200"/>
        <w:rPr>
          <w:rFonts w:ascii="楷体_GB2312" w:eastAsia="楷体_GB2312"/>
        </w:rPr>
      </w:pPr>
      <w:bookmarkStart w:id="10" w:name="_Toc56703377"/>
      <w:r>
        <w:rPr>
          <w:rFonts w:hint="eastAsia" w:ascii="楷体_GB2312" w:eastAsia="楷体_GB2312"/>
          <w:lang w:eastAsia="zh-Hans"/>
        </w:rPr>
        <w:t>绩效评价</w:t>
      </w:r>
      <w:r>
        <w:rPr>
          <w:rFonts w:hint="eastAsia" w:ascii="楷体_GB2312" w:eastAsia="楷体_GB2312"/>
        </w:rPr>
        <w:t>依据</w:t>
      </w:r>
      <w:bookmarkEnd w:id="10"/>
    </w:p>
    <w:p>
      <w:pPr>
        <w:numPr>
          <w:ilvl w:val="0"/>
          <w:numId w:val="3"/>
        </w:numPr>
        <w:spacing w:line="600" w:lineRule="exact"/>
        <w:ind w:left="960"/>
        <w:rPr>
          <w:rFonts w:ascii="仿宋_GB2312" w:hAnsi="仿宋_GB2312" w:cs="仿宋_GB2312"/>
          <w:szCs w:val="32"/>
        </w:rPr>
      </w:pPr>
      <w:r>
        <w:rPr>
          <w:rFonts w:hint="eastAsia" w:ascii="仿宋_GB2312" w:hAnsi="仿宋_GB2312" w:cs="仿宋_GB2312"/>
          <w:szCs w:val="32"/>
        </w:rPr>
        <w:t>《中共中央 国务院关于全面实施预算绩效管理的意见》（中发〔2018〕34号）</w:t>
      </w:r>
    </w:p>
    <w:p>
      <w:pPr>
        <w:numPr>
          <w:ilvl w:val="0"/>
          <w:numId w:val="3"/>
        </w:numPr>
        <w:spacing w:line="600" w:lineRule="exact"/>
        <w:ind w:left="960"/>
        <w:rPr>
          <w:rFonts w:ascii="仿宋_GB2312" w:hAnsi="仿宋_GB2312" w:cs="仿宋_GB2312"/>
          <w:szCs w:val="32"/>
        </w:rPr>
      </w:pPr>
      <w:r>
        <w:rPr>
          <w:rFonts w:hint="eastAsia" w:ascii="仿宋_GB2312" w:hAnsi="仿宋_GB2312" w:cs="仿宋_GB2312"/>
          <w:szCs w:val="32"/>
        </w:rPr>
        <w:t>《关于贯彻落实&lt;中共中央 国务院关于全面实施预算绩效管理的意见&gt;的通知》（财预〔2018〕167号）</w:t>
      </w:r>
    </w:p>
    <w:p>
      <w:pPr>
        <w:numPr>
          <w:ilvl w:val="0"/>
          <w:numId w:val="3"/>
        </w:numPr>
        <w:spacing w:line="600" w:lineRule="exact"/>
        <w:ind w:left="960"/>
        <w:rPr>
          <w:rFonts w:ascii="仿宋_GB2312" w:hAnsi="仿宋_GB2312" w:cs="仿宋_GB2312"/>
          <w:szCs w:val="32"/>
        </w:rPr>
      </w:pPr>
      <w:r>
        <w:rPr>
          <w:rFonts w:hint="eastAsia" w:ascii="仿宋_GB2312" w:hAnsi="仿宋_GB2312" w:cs="仿宋_GB2312"/>
          <w:szCs w:val="32"/>
        </w:rPr>
        <w:t>《中共四川省委 四川省人民政府关于全面实施预算绩效管理的实施意见》（川委发〔2019〕8号）</w:t>
      </w:r>
    </w:p>
    <w:p>
      <w:pPr>
        <w:numPr>
          <w:ilvl w:val="0"/>
          <w:numId w:val="3"/>
        </w:numPr>
        <w:spacing w:line="600" w:lineRule="exact"/>
        <w:ind w:left="960"/>
        <w:rPr>
          <w:rFonts w:ascii="仿宋_GB2312" w:hAnsi="仿宋_GB2312" w:cs="仿宋_GB2312"/>
          <w:szCs w:val="32"/>
        </w:rPr>
      </w:pPr>
      <w:r>
        <w:rPr>
          <w:rFonts w:hint="eastAsia" w:ascii="仿宋_GB2312" w:hAnsi="仿宋_GB2312" w:cs="仿宋_GB2312"/>
          <w:szCs w:val="32"/>
        </w:rPr>
        <w:t>《关于印发&lt;项目支出绩效评价管理办法&gt;的通知》（财预〔2020〕10 号）</w:t>
      </w:r>
    </w:p>
    <w:p>
      <w:pPr>
        <w:numPr>
          <w:ilvl w:val="0"/>
          <w:numId w:val="3"/>
        </w:numPr>
        <w:spacing w:line="600" w:lineRule="exact"/>
        <w:ind w:left="960"/>
        <w:rPr>
          <w:rFonts w:ascii="仿宋_GB2312" w:hAnsi="仿宋_GB2312" w:cs="仿宋_GB2312"/>
          <w:szCs w:val="32"/>
        </w:rPr>
      </w:pPr>
      <w:r>
        <w:rPr>
          <w:rFonts w:hint="eastAsia" w:ascii="仿宋_GB2312" w:hAnsi="仿宋_GB2312" w:cs="仿宋_GB2312"/>
          <w:szCs w:val="32"/>
        </w:rPr>
        <w:t>《四川省财政支出绩效评价操作规程（试行）》（2018年版）</w:t>
      </w:r>
    </w:p>
    <w:p>
      <w:pPr>
        <w:numPr>
          <w:ilvl w:val="0"/>
          <w:numId w:val="3"/>
        </w:numPr>
        <w:spacing w:line="600" w:lineRule="exact"/>
        <w:ind w:left="960"/>
        <w:rPr>
          <w:rFonts w:ascii="仿宋_GB2312" w:hAnsi="仿宋_GB2312" w:cs="仿宋_GB2312"/>
          <w:szCs w:val="32"/>
        </w:rPr>
      </w:pPr>
      <w:r>
        <w:rPr>
          <w:rFonts w:hint="eastAsia" w:ascii="仿宋_GB2312" w:hAnsi="仿宋_GB2312" w:cs="仿宋_GB2312"/>
          <w:szCs w:val="32"/>
        </w:rPr>
        <w:t>《遂宁高新区财政金融局关于开展2020年财政绩效评价工作的通知》（遂高管财〔2020〕</w:t>
      </w:r>
      <w:r>
        <w:rPr>
          <w:rFonts w:ascii="仿宋_GB2312" w:hAnsi="仿宋_GB2312" w:cs="仿宋_GB2312"/>
          <w:szCs w:val="32"/>
        </w:rPr>
        <w:t>168</w:t>
      </w:r>
      <w:r>
        <w:rPr>
          <w:rFonts w:hint="eastAsia" w:ascii="仿宋_GB2312" w:hAnsi="仿宋_GB2312" w:cs="仿宋_GB2312"/>
          <w:szCs w:val="32"/>
        </w:rPr>
        <w:t>号）</w:t>
      </w:r>
    </w:p>
    <w:p>
      <w:pPr>
        <w:numPr>
          <w:ilvl w:val="0"/>
          <w:numId w:val="3"/>
        </w:numPr>
        <w:spacing w:line="600" w:lineRule="exact"/>
        <w:ind w:left="960"/>
        <w:rPr>
          <w:rFonts w:ascii="仿宋_GB2312" w:hAnsi="仿宋_GB2312" w:cs="仿宋_GB2312"/>
          <w:szCs w:val="32"/>
        </w:rPr>
      </w:pPr>
      <w:r>
        <w:rPr>
          <w:rFonts w:hint="eastAsia" w:ascii="仿宋_GB2312" w:hAnsi="仿宋_GB2312" w:cs="仿宋_GB2312"/>
          <w:szCs w:val="32"/>
        </w:rPr>
        <w:t>项目立项、实施、完成及效果测评相关资料，包括：项目立项请示及批复文件；政府采购审批表；项目管理过程资料；项目验收资料；项目财务资料（拨款及支付凭据等）；受益群体对项目满意度调查表等。</w:t>
      </w:r>
    </w:p>
    <w:p>
      <w:pPr>
        <w:pStyle w:val="3"/>
        <w:numPr>
          <w:ilvl w:val="0"/>
          <w:numId w:val="2"/>
        </w:numPr>
        <w:spacing w:before="240" w:after="240" w:line="480" w:lineRule="auto"/>
        <w:ind w:left="640" w:leftChars="200"/>
        <w:rPr>
          <w:rFonts w:ascii="楷体_GB2312" w:eastAsia="楷体_GB2312"/>
        </w:rPr>
      </w:pPr>
      <w:bookmarkStart w:id="11" w:name="_Toc56703378"/>
      <w:r>
        <w:rPr>
          <w:rFonts w:hint="eastAsia" w:ascii="楷体_GB2312" w:eastAsia="楷体_GB2312"/>
        </w:rPr>
        <w:t>现场评价抽样选点情况</w:t>
      </w:r>
      <w:bookmarkEnd w:id="11"/>
    </w:p>
    <w:p>
      <w:pPr>
        <w:spacing w:line="600" w:lineRule="exact"/>
        <w:ind w:left="420" w:firstLine="420"/>
      </w:pPr>
      <w:r>
        <w:rPr>
          <w:rFonts w:hint="eastAsia"/>
        </w:rPr>
        <w:t>评价组通过对项目负责人进行现场访谈，根据项目所覆盖的范围，选择通过问卷调查小程序对该平台的用户进行问卷调查，现场对远成物流园区的商家、司机等人员进行问卷调查。</w:t>
      </w:r>
    </w:p>
    <w:p>
      <w:pPr>
        <w:pStyle w:val="3"/>
        <w:numPr>
          <w:ilvl w:val="0"/>
          <w:numId w:val="2"/>
        </w:numPr>
        <w:spacing w:before="240" w:after="240" w:line="480" w:lineRule="auto"/>
        <w:ind w:left="640" w:leftChars="200"/>
        <w:rPr>
          <w:rFonts w:ascii="楷体_GB2312" w:eastAsia="楷体_GB2312"/>
        </w:rPr>
      </w:pPr>
      <w:bookmarkStart w:id="12" w:name="_Toc498642448"/>
      <w:bookmarkStart w:id="13" w:name="_Toc56703379"/>
      <w:bookmarkStart w:id="14" w:name="_Toc401129279"/>
      <w:r>
        <w:rPr>
          <w:rFonts w:hint="eastAsia" w:ascii="楷体_GB2312" w:eastAsia="楷体_GB2312"/>
        </w:rPr>
        <w:t>数据采集方法及过程</w:t>
      </w:r>
      <w:bookmarkEnd w:id="12"/>
      <w:bookmarkEnd w:id="13"/>
      <w:bookmarkEnd w:id="14"/>
    </w:p>
    <w:p>
      <w:pPr>
        <w:spacing w:line="600" w:lineRule="exact"/>
        <w:ind w:left="420" w:firstLine="420"/>
      </w:pPr>
      <w:r>
        <w:rPr>
          <w:rFonts w:hint="eastAsia"/>
        </w:rPr>
        <w:t>根据既定的工作方案，评价工作正式展开。评价工作主要包含以下几个方面：</w:t>
      </w:r>
    </w:p>
    <w:p>
      <w:pPr>
        <w:pStyle w:val="4"/>
        <w:spacing w:before="120" w:after="120" w:line="480" w:lineRule="auto"/>
        <w:ind w:left="640" w:leftChars="200"/>
        <w:rPr>
          <w:rFonts w:ascii="仿宋_GB2312"/>
          <w:b w:val="0"/>
          <w:bCs w:val="0"/>
        </w:rPr>
      </w:pPr>
      <w:bookmarkStart w:id="15" w:name="_Toc56703380"/>
      <w:r>
        <w:rPr>
          <w:rFonts w:hint="eastAsia" w:ascii="仿宋_GB2312"/>
          <w:b w:val="0"/>
          <w:bCs w:val="0"/>
        </w:rPr>
        <w:t>1.访谈</w:t>
      </w:r>
      <w:bookmarkEnd w:id="15"/>
    </w:p>
    <w:p>
      <w:pPr>
        <w:spacing w:line="600" w:lineRule="exact"/>
        <w:ind w:left="420" w:firstLine="420"/>
      </w:pPr>
      <w:r>
        <w:rPr>
          <w:rFonts w:hint="eastAsia"/>
        </w:rPr>
        <w:t>根据评价组预先拟定的访谈提纲，与本项目负责人进行现场访谈，对项目立项批复、绩效目标、执行过程、制度规范、资金管理、项目验收等方面进行了访谈，对在财务资料、档案资料中发现的问题进行了解沟通，并形成书面记录。</w:t>
      </w:r>
    </w:p>
    <w:p>
      <w:pPr>
        <w:pStyle w:val="4"/>
        <w:spacing w:before="120" w:after="120" w:line="480" w:lineRule="auto"/>
        <w:ind w:left="640" w:leftChars="200"/>
        <w:rPr>
          <w:rFonts w:ascii="仿宋_GB2312"/>
          <w:b w:val="0"/>
          <w:bCs w:val="0"/>
        </w:rPr>
      </w:pPr>
      <w:bookmarkStart w:id="16" w:name="_Toc56703381"/>
      <w:r>
        <w:rPr>
          <w:rFonts w:hint="eastAsia" w:ascii="仿宋_GB2312"/>
          <w:b w:val="0"/>
          <w:bCs w:val="0"/>
        </w:rPr>
        <w:t>2.拟定需求资料清单</w:t>
      </w:r>
      <w:bookmarkEnd w:id="16"/>
    </w:p>
    <w:p>
      <w:pPr>
        <w:spacing w:line="600" w:lineRule="exact"/>
        <w:ind w:left="420" w:firstLine="420"/>
      </w:pPr>
      <w:r>
        <w:rPr>
          <w:rFonts w:hint="eastAsia"/>
        </w:rPr>
        <w:t>评价组根据访谈情况和指标体系拟定项目支出绩效评价需求资料清单。</w:t>
      </w:r>
    </w:p>
    <w:p>
      <w:pPr>
        <w:pStyle w:val="4"/>
        <w:spacing w:before="120" w:after="120" w:line="480" w:lineRule="auto"/>
        <w:ind w:left="640" w:leftChars="200"/>
        <w:rPr>
          <w:rFonts w:ascii="仿宋_GB2312"/>
          <w:b w:val="0"/>
          <w:bCs w:val="0"/>
        </w:rPr>
      </w:pPr>
      <w:bookmarkStart w:id="17" w:name="_Toc56703382"/>
      <w:r>
        <w:rPr>
          <w:rFonts w:hint="eastAsia" w:ascii="仿宋_GB2312"/>
          <w:b w:val="0"/>
          <w:bCs w:val="0"/>
        </w:rPr>
        <w:t>3.收集资料、查阅资料、分析数据</w:t>
      </w:r>
      <w:bookmarkEnd w:id="17"/>
    </w:p>
    <w:p>
      <w:pPr>
        <w:spacing w:line="600" w:lineRule="exact"/>
        <w:ind w:left="420" w:firstLine="420"/>
      </w:pPr>
      <w:r>
        <w:rPr>
          <w:rFonts w:hint="eastAsia"/>
        </w:rPr>
        <w:t>根据项目实施单位提供的资料清单，查阅资料并统计分析数据。</w:t>
      </w:r>
    </w:p>
    <w:p>
      <w:pPr>
        <w:spacing w:line="600" w:lineRule="exact"/>
        <w:ind w:left="420" w:firstLine="420"/>
      </w:pPr>
      <w:r>
        <w:rPr>
          <w:rFonts w:hint="eastAsia"/>
        </w:rPr>
        <w:t>根据项目实施单位提供相应管理制度和财务制度，查看是否具有相应的项目管理制度、财务管理制度并对其制定的有关规章制度的健全性、合规性进行检查。</w:t>
      </w:r>
    </w:p>
    <w:p>
      <w:pPr>
        <w:spacing w:line="600" w:lineRule="exact"/>
        <w:ind w:left="420" w:firstLine="420"/>
      </w:pPr>
      <w:r>
        <w:rPr>
          <w:rFonts w:hint="eastAsia"/>
        </w:rPr>
        <w:t>根据项目资金拨付资料、项目支出明细账、会计凭证等财务资料，检查其有关的财务资料的合规性，并查看其是否符合项目预算批复或合同规定的用途；是否存在截留、挤占、挪用、虚列支出；是否超预算列支等情况。</w:t>
      </w:r>
    </w:p>
    <w:p>
      <w:pPr>
        <w:pStyle w:val="4"/>
        <w:spacing w:before="120" w:after="120" w:line="480" w:lineRule="auto"/>
        <w:ind w:left="640" w:leftChars="200"/>
        <w:rPr>
          <w:rFonts w:ascii="仿宋_GB2312"/>
          <w:b w:val="0"/>
          <w:bCs w:val="0"/>
        </w:rPr>
      </w:pPr>
      <w:bookmarkStart w:id="18" w:name="_Toc56703383"/>
      <w:r>
        <w:rPr>
          <w:rFonts w:hint="eastAsia" w:ascii="仿宋_GB2312"/>
          <w:b w:val="0"/>
          <w:bCs w:val="0"/>
        </w:rPr>
        <w:t>4.问卷调查</w:t>
      </w:r>
      <w:bookmarkEnd w:id="18"/>
    </w:p>
    <w:p>
      <w:pPr>
        <w:spacing w:line="600" w:lineRule="exact"/>
        <w:ind w:left="420" w:firstLine="420"/>
      </w:pPr>
      <w:r>
        <w:rPr>
          <w:rFonts w:hint="eastAsia"/>
        </w:rPr>
        <w:t>（1）调查对象：平台用户和远成物流园区的人员</w:t>
      </w:r>
    </w:p>
    <w:p>
      <w:pPr>
        <w:spacing w:line="600" w:lineRule="exact"/>
        <w:ind w:left="420" w:firstLine="420"/>
      </w:pPr>
      <w:r>
        <w:rPr>
          <w:rFonts w:hint="eastAsia"/>
        </w:rPr>
        <w:t>（2）调查目标：以平台用户和远成物流园区人员的</w:t>
      </w:r>
    </w:p>
    <w:p>
      <w:pPr>
        <w:spacing w:line="600" w:lineRule="exact"/>
        <w:ind w:firstLine="320" w:firstLineChars="100"/>
      </w:pPr>
      <w:r>
        <w:rPr>
          <w:rFonts w:hint="eastAsia"/>
        </w:rPr>
        <w:t>知晓度和满意度为调查目标。</w:t>
      </w:r>
    </w:p>
    <w:p>
      <w:pPr>
        <w:spacing w:line="600" w:lineRule="exact"/>
        <w:ind w:left="420" w:firstLine="420"/>
      </w:pPr>
      <w:r>
        <w:rPr>
          <w:rFonts w:hint="eastAsia"/>
        </w:rPr>
        <w:t>（3）调查内容：包括用户对该平台的知晓度和使用的满意度、该公司对平台的维护情况、对该平台利用率的认可度等情况进行调查。</w:t>
      </w:r>
    </w:p>
    <w:p>
      <w:pPr>
        <w:spacing w:line="600" w:lineRule="exact"/>
        <w:ind w:left="420" w:firstLine="420"/>
      </w:pPr>
      <w:r>
        <w:rPr>
          <w:rFonts w:hint="eastAsia"/>
        </w:rPr>
        <w:t>（4）调查方式：问卷调查包括以下几个阶段： 1)调查问卷的设计； 2)实地调查阶段； 3)问卷的统计处理、分析阶段；4)报告调查结果阶段。</w:t>
      </w:r>
    </w:p>
    <w:p>
      <w:pPr>
        <w:spacing w:line="600" w:lineRule="exact"/>
        <w:ind w:left="420" w:firstLine="420"/>
        <w:rPr>
          <w:rFonts w:ascii="Times New Roman" w:hAnsi="Times New Roman"/>
        </w:rPr>
      </w:pPr>
      <w:r>
        <w:rPr>
          <w:rFonts w:hint="eastAsia"/>
        </w:rPr>
        <w:t>问卷由评价组组织发放与回收，</w:t>
      </w:r>
      <w:r>
        <w:rPr>
          <w:rFonts w:ascii="Times New Roman" w:hAnsi="Times New Roman"/>
        </w:rPr>
        <w:t>共发放问卷69份。其中通过“问卷星”微信小程序收集问卷 26份，去掉重复提交后的有效问卷19份；向远成物流园区人员进行现场问卷调查43份，有效问卷43份。共收集有效问卷62份。</w:t>
      </w:r>
    </w:p>
    <w:p>
      <w:pPr>
        <w:pStyle w:val="3"/>
        <w:numPr>
          <w:ilvl w:val="0"/>
          <w:numId w:val="2"/>
        </w:numPr>
        <w:spacing w:before="240" w:after="240" w:line="480" w:lineRule="auto"/>
        <w:ind w:left="640" w:leftChars="200"/>
        <w:rPr>
          <w:rFonts w:ascii="楷体_GB2312" w:eastAsia="楷体_GB2312"/>
        </w:rPr>
      </w:pPr>
      <w:bookmarkStart w:id="19" w:name="_Toc56703384"/>
      <w:bookmarkStart w:id="20" w:name="_Toc401129280"/>
      <w:r>
        <w:rPr>
          <w:rFonts w:hint="eastAsia" w:ascii="楷体_GB2312" w:eastAsia="楷体_GB2312"/>
        </w:rPr>
        <w:t>绩效评价实施过程</w:t>
      </w:r>
      <w:bookmarkEnd w:id="19"/>
      <w:bookmarkEnd w:id="20"/>
    </w:p>
    <w:p>
      <w:pPr>
        <w:spacing w:line="600" w:lineRule="exact"/>
        <w:ind w:left="420" w:firstLine="420"/>
        <w:rPr>
          <w:rFonts w:ascii="Times New Roman" w:hAnsi="Times New Roman"/>
        </w:rPr>
      </w:pPr>
      <w:r>
        <w:rPr>
          <w:rFonts w:ascii="Times New Roman" w:hAnsi="Times New Roman"/>
        </w:rPr>
        <w:t>本次绩效评价实施过程中，项目实施单位与评价组密切配合，使得绩效评价工作能够顺利开展。</w:t>
      </w:r>
    </w:p>
    <w:p>
      <w:pPr>
        <w:spacing w:line="600" w:lineRule="exact"/>
        <w:ind w:left="420" w:firstLine="420"/>
        <w:rPr>
          <w:rFonts w:ascii="Times New Roman" w:hAnsi="Times New Roman"/>
        </w:rPr>
      </w:pPr>
      <w:r>
        <w:rPr>
          <w:rFonts w:ascii="Times New Roman" w:hAnsi="Times New Roman"/>
        </w:rPr>
        <w:t>在评价实施初期，项目实施单位向评价组提供了《中国西部现代物流港管委会物流公共信息平台项目合作协议书》、四川物联亿达科技有限公司关于拨付物流公共信息平台运维费用的请示”、“2019年中国西部现代物流港物流公共信息平台项目绩效目标表”、资金拨付通知、财务管理制度、项目支出凭证等，并与评价组进行沟通，以便评价组了解项目概况以及对基础资料的搜集。</w:t>
      </w:r>
    </w:p>
    <w:p>
      <w:pPr>
        <w:spacing w:line="600" w:lineRule="exact"/>
        <w:ind w:left="420" w:firstLine="420"/>
      </w:pPr>
      <w:r>
        <w:rPr>
          <w:rFonts w:ascii="Times New Roman" w:hAnsi="Times New Roman"/>
        </w:rPr>
        <w:t>在评价组与项目实施单位相关负责人访谈</w:t>
      </w:r>
      <w:r>
        <w:rPr>
          <w:rFonts w:hint="eastAsia"/>
        </w:rPr>
        <w:t>后，项目实施单位补充了项目平台车源信息管理资料、企业信息管理资料、平台域名注册资料、其他财务管理等资料，评价组查看相关资料后，由评价组牵头进行问卷调查。</w:t>
      </w:r>
    </w:p>
    <w:p>
      <w:pPr>
        <w:spacing w:line="600" w:lineRule="exact"/>
        <w:ind w:left="420" w:firstLine="420"/>
      </w:pPr>
      <w:r>
        <w:rPr>
          <w:rFonts w:hint="eastAsia"/>
        </w:rPr>
        <w:t>在报告阶段，评价组助理人员对资料初步整理，汇总分析资料，编制评价工作底稿；项目经理检查核实绩效评价问题发现；编制项目支出绩效评价报告（初稿），与项目实施单位负责人沟通项目绩效评价过程中发现的问题和指标评分情况；项目经理拟定绩效评价报告（征求意见稿）；项目组组长审核修改，并与委托人沟通确认评价报告；出具正式报告，完成本次绩效评价工作。</w:t>
      </w:r>
    </w:p>
    <w:p>
      <w:pPr>
        <w:pStyle w:val="3"/>
        <w:numPr>
          <w:ilvl w:val="0"/>
          <w:numId w:val="2"/>
        </w:numPr>
        <w:spacing w:before="240" w:after="240" w:line="480" w:lineRule="auto"/>
        <w:ind w:left="640" w:leftChars="200"/>
        <w:rPr>
          <w:rFonts w:ascii="楷体_GB2312" w:eastAsia="楷体_GB2312"/>
          <w:lang w:eastAsia="zh-Hans"/>
        </w:rPr>
      </w:pPr>
      <w:bookmarkStart w:id="21" w:name="_Toc56703385"/>
      <w:r>
        <w:rPr>
          <w:rFonts w:hint="eastAsia" w:ascii="楷体_GB2312" w:eastAsia="楷体_GB2312"/>
          <w:lang w:eastAsia="zh-Hans"/>
        </w:rPr>
        <w:t>本次绩效评价的局限性</w:t>
      </w:r>
      <w:bookmarkEnd w:id="21"/>
    </w:p>
    <w:p>
      <w:pPr>
        <w:spacing w:line="600" w:lineRule="exact"/>
        <w:ind w:left="420" w:firstLine="739" w:firstLineChars="231"/>
      </w:pPr>
      <w:r>
        <w:rPr>
          <w:rFonts w:hint="eastAsia"/>
        </w:rPr>
        <w:t>因项目单位调整，且为事后评价，因此存在一定的局限性。</w:t>
      </w:r>
    </w:p>
    <w:p>
      <w:pPr>
        <w:pStyle w:val="2"/>
        <w:spacing w:before="0" w:after="0" w:line="600" w:lineRule="auto"/>
        <w:rPr>
          <w:rFonts w:ascii="黑体" w:hAnsi="黑体" w:eastAsia="黑体"/>
          <w:sz w:val="32"/>
          <w:szCs w:val="32"/>
        </w:rPr>
      </w:pPr>
      <w:bookmarkStart w:id="22" w:name="_Toc56703386"/>
      <w:r>
        <w:rPr>
          <w:rFonts w:hint="eastAsia" w:ascii="黑体" w:hAnsi="黑体" w:eastAsia="黑体"/>
          <w:sz w:val="32"/>
          <w:szCs w:val="32"/>
        </w:rPr>
        <w:t>三、项目实施情况</w:t>
      </w:r>
      <w:bookmarkEnd w:id="22"/>
    </w:p>
    <w:p>
      <w:pPr>
        <w:pStyle w:val="3"/>
        <w:spacing w:before="240" w:after="240" w:line="480" w:lineRule="auto"/>
        <w:ind w:left="640" w:leftChars="200"/>
        <w:rPr>
          <w:rFonts w:ascii="楷体_GB2312" w:eastAsia="楷体_GB2312"/>
        </w:rPr>
      </w:pPr>
      <w:bookmarkStart w:id="23" w:name="_Toc56703387"/>
      <w:r>
        <w:rPr>
          <w:rFonts w:hint="eastAsia" w:ascii="楷体_GB2312" w:eastAsia="楷体_GB2312"/>
        </w:rPr>
        <w:t>（一）项目决策</w:t>
      </w:r>
      <w:bookmarkEnd w:id="23"/>
    </w:p>
    <w:p>
      <w:pPr>
        <w:pStyle w:val="4"/>
        <w:spacing w:before="120" w:after="120" w:line="480" w:lineRule="auto"/>
        <w:ind w:left="640" w:leftChars="200"/>
        <w:rPr>
          <w:rFonts w:ascii="仿宋_GB2312"/>
          <w:b w:val="0"/>
          <w:bCs w:val="0"/>
        </w:rPr>
      </w:pPr>
      <w:bookmarkStart w:id="24" w:name="_Toc56703388"/>
      <w:r>
        <w:rPr>
          <w:rFonts w:hint="eastAsia" w:ascii="仿宋_GB2312"/>
          <w:b w:val="0"/>
          <w:bCs w:val="0"/>
        </w:rPr>
        <w:t>1.绩效目标情况</w:t>
      </w:r>
      <w:bookmarkEnd w:id="24"/>
    </w:p>
    <w:p>
      <w:pPr>
        <w:spacing w:line="600" w:lineRule="exact"/>
        <w:ind w:firstLine="640" w:firstLineChars="200"/>
        <w:rPr>
          <w:rFonts w:ascii="仿宋_GB2312" w:hAnsi="仿宋_GB2312" w:cs="仿宋_GB2312"/>
        </w:rPr>
      </w:pPr>
      <w:r>
        <w:rPr>
          <w:rFonts w:hint="eastAsia" w:ascii="仿宋_GB2312" w:hAnsi="仿宋_GB2312" w:cs="仿宋_GB2312"/>
        </w:rPr>
        <w:t>本项目</w:t>
      </w:r>
      <w:r>
        <w:rPr>
          <w:rFonts w:hint="eastAsia" w:ascii="仿宋_GB2312" w:hAnsi="仿宋_GB2312" w:cs="仿宋_GB2312"/>
          <w:szCs w:val="32"/>
        </w:rPr>
        <w:t>主要完成以下工作目标：</w:t>
      </w:r>
      <w:r>
        <w:rPr>
          <w:rFonts w:hint="eastAsia" w:ascii="仿宋_GB2312" w:hAnsi="仿宋_GB2312" w:cs="仿宋_GB2312"/>
        </w:rPr>
        <w:t>一是完成2019-2020年度注册个人会员数300个，企业会员200个、信息发布1000条；二是完成2019-2020年度平台技术维护；三是成本指标控制在预算范围内：服务器（空间）租赁费用5万，域名购买费用216元，服务器运行维护和安全维护费用15万，网站程序技术员维护费用15万，信息维护人员费用10万。</w:t>
      </w:r>
    </w:p>
    <w:p>
      <w:pPr>
        <w:spacing w:line="600" w:lineRule="exact"/>
        <w:ind w:firstLine="640" w:firstLineChars="200"/>
        <w:rPr>
          <w:rFonts w:ascii="仿宋_GB2312" w:hAnsi="仿宋_GB2312" w:cs="仿宋_GB2312"/>
        </w:rPr>
      </w:pPr>
      <w:r>
        <w:rPr>
          <w:rFonts w:hint="eastAsia" w:ascii="仿宋_GB2312" w:hAnsi="仿宋_GB2312" w:cs="仿宋_GB2312"/>
        </w:rPr>
        <w:t>社会效益指标为解决现代企业物品流通的“物流信息不对称”问题。网站让发货企业找物流企业或运输车辆更方便、更快捷，让物流企业找车辆找货源更轻松、更省钱；以现代企业多元化物品流通需求为中心，以各类物流运输企业的网络信息化普及为出发点，全面解决了现代企业物品流通的所有物流需求。</w:t>
      </w:r>
    </w:p>
    <w:p>
      <w:pPr>
        <w:pStyle w:val="4"/>
        <w:spacing w:before="120" w:after="120" w:line="480" w:lineRule="auto"/>
        <w:ind w:left="640" w:leftChars="200"/>
        <w:rPr>
          <w:rFonts w:ascii="仿宋_GB2312"/>
          <w:b w:val="0"/>
          <w:bCs w:val="0"/>
        </w:rPr>
      </w:pPr>
      <w:bookmarkStart w:id="25" w:name="_Toc56703389"/>
      <w:r>
        <w:rPr>
          <w:rFonts w:hint="eastAsia" w:ascii="仿宋_GB2312"/>
          <w:b w:val="0"/>
          <w:bCs w:val="0"/>
        </w:rPr>
        <w:t>2.决策依据情况</w:t>
      </w:r>
      <w:bookmarkEnd w:id="25"/>
    </w:p>
    <w:p>
      <w:pPr>
        <w:spacing w:line="600" w:lineRule="exact"/>
        <w:ind w:firstLine="640" w:firstLineChars="200"/>
      </w:pPr>
      <w:r>
        <w:rPr>
          <w:rFonts w:hint="eastAsia"/>
        </w:rPr>
        <w:t>2012年6月8日</w:t>
      </w:r>
      <w:r>
        <w:rPr>
          <w:rFonts w:hint="eastAsia" w:ascii="仿宋_GB2312" w:hAnsi="仿宋_GB2312" w:cs="仿宋_GB2312"/>
        </w:rPr>
        <w:t>中国西部现代物流港管理委员会</w:t>
      </w:r>
      <w:r>
        <w:rPr>
          <w:rFonts w:hint="eastAsia"/>
        </w:rPr>
        <w:t>与</w:t>
      </w:r>
      <w:r>
        <w:rPr>
          <w:rFonts w:hint="eastAsia" w:ascii="仿宋_GB2312" w:hAnsi="仿宋_GB2312" w:cs="仿宋_GB2312"/>
          <w:szCs w:val="32"/>
          <w:lang w:eastAsia="zh-Hans"/>
        </w:rPr>
        <w:t>四川物联亿达科技有限公司</w:t>
      </w:r>
      <w:r>
        <w:rPr>
          <w:rFonts w:hint="eastAsia"/>
        </w:rPr>
        <w:t>签订</w:t>
      </w:r>
      <w:r>
        <w:rPr>
          <w:rFonts w:hint="eastAsia" w:ascii="仿宋_GB2312" w:hAnsi="仿宋_GB2312" w:cs="仿宋_GB2312"/>
        </w:rPr>
        <w:t>《中国西部现代物流港管委会物流公共信息平台项目合作协议书》，但无其他政策</w:t>
      </w:r>
      <w:r>
        <w:rPr>
          <w:rFonts w:hint="eastAsia"/>
        </w:rPr>
        <w:t>依据文件。</w:t>
      </w:r>
    </w:p>
    <w:p>
      <w:pPr>
        <w:pStyle w:val="4"/>
        <w:spacing w:before="120" w:after="120" w:line="480" w:lineRule="auto"/>
        <w:ind w:firstLine="640" w:firstLineChars="200"/>
        <w:rPr>
          <w:rFonts w:ascii="仿宋_GB2312"/>
          <w:b w:val="0"/>
          <w:bCs w:val="0"/>
        </w:rPr>
      </w:pPr>
      <w:bookmarkStart w:id="26" w:name="_Toc56703390"/>
      <w:r>
        <w:rPr>
          <w:rFonts w:hint="eastAsia" w:ascii="仿宋_GB2312"/>
          <w:b w:val="0"/>
          <w:bCs w:val="0"/>
        </w:rPr>
        <w:t>3.资金分配情况</w:t>
      </w:r>
      <w:bookmarkEnd w:id="26"/>
    </w:p>
    <w:p>
      <w:pPr>
        <w:spacing w:line="600" w:lineRule="exact"/>
        <w:ind w:firstLine="640" w:firstLineChars="200"/>
      </w:pPr>
      <w:r>
        <w:rPr>
          <w:rFonts w:hint="eastAsia" w:ascii="仿宋_GB2312"/>
        </w:rPr>
        <w:t>本项目于2019年12月资金到位40万元。2</w:t>
      </w:r>
      <w:r>
        <w:rPr>
          <w:rFonts w:ascii="仿宋_GB2312"/>
        </w:rPr>
        <w:t>019</w:t>
      </w:r>
      <w:r>
        <w:rPr>
          <w:rFonts w:hint="eastAsia" w:ascii="仿宋_GB2312"/>
        </w:rPr>
        <w:t xml:space="preserve">年 </w:t>
      </w:r>
      <w:r>
        <w:rPr>
          <w:rFonts w:ascii="仿宋_GB2312"/>
        </w:rPr>
        <w:t>12</w:t>
      </w:r>
      <w:r>
        <w:rPr>
          <w:rFonts w:hint="eastAsia" w:ascii="仿宋_GB2312"/>
        </w:rPr>
        <w:t>月1</w:t>
      </w:r>
      <w:r>
        <w:rPr>
          <w:rFonts w:ascii="仿宋_GB2312"/>
        </w:rPr>
        <w:t>9</w:t>
      </w:r>
      <w:r>
        <w:rPr>
          <w:rFonts w:hint="eastAsia" w:ascii="仿宋_GB2312"/>
        </w:rPr>
        <w:t>日支付</w:t>
      </w:r>
      <w:r>
        <w:rPr>
          <w:rFonts w:hint="eastAsia" w:ascii="仿宋_GB2312" w:hAnsi="仿宋_GB2312" w:cs="仿宋_GB2312"/>
          <w:szCs w:val="32"/>
          <w:lang w:eastAsia="zh-Hans"/>
        </w:rPr>
        <w:t>四川物联亿达科技有限公司维护服务费</w:t>
      </w:r>
      <w:r>
        <w:rPr>
          <w:rFonts w:hint="eastAsia" w:ascii="仿宋_GB2312" w:hAnsi="仿宋_GB2312" w:cs="仿宋_GB2312"/>
          <w:szCs w:val="32"/>
        </w:rPr>
        <w:t>4</w:t>
      </w:r>
      <w:r>
        <w:rPr>
          <w:rFonts w:ascii="仿宋_GB2312" w:hAnsi="仿宋_GB2312" w:cs="仿宋_GB2312"/>
          <w:szCs w:val="32"/>
        </w:rPr>
        <w:t>0</w:t>
      </w:r>
      <w:r>
        <w:rPr>
          <w:rFonts w:hint="eastAsia" w:ascii="仿宋_GB2312" w:hAnsi="仿宋_GB2312" w:cs="仿宋_GB2312"/>
          <w:szCs w:val="32"/>
        </w:rPr>
        <w:t>万元，资金执行率为1</w:t>
      </w:r>
      <w:r>
        <w:rPr>
          <w:rFonts w:ascii="仿宋_GB2312" w:hAnsi="仿宋_GB2312" w:cs="仿宋_GB2312"/>
          <w:szCs w:val="32"/>
        </w:rPr>
        <w:t>00%</w:t>
      </w:r>
      <w:r>
        <w:rPr>
          <w:rFonts w:hint="eastAsia" w:ascii="仿宋_GB2312" w:hAnsi="仿宋_GB2312" w:cs="仿宋_GB2312"/>
          <w:szCs w:val="32"/>
        </w:rPr>
        <w:t>。</w:t>
      </w:r>
    </w:p>
    <w:p>
      <w:pPr>
        <w:pStyle w:val="3"/>
        <w:spacing w:before="240" w:after="240" w:line="480" w:lineRule="auto"/>
        <w:ind w:left="640" w:leftChars="200"/>
        <w:rPr>
          <w:rFonts w:ascii="楷体_GB2312" w:eastAsia="楷体_GB2312"/>
        </w:rPr>
      </w:pPr>
      <w:bookmarkStart w:id="27" w:name="_Toc56703391"/>
      <w:r>
        <w:rPr>
          <w:rFonts w:hint="eastAsia" w:ascii="楷体_GB2312" w:eastAsia="楷体_GB2312"/>
        </w:rPr>
        <w:t>（二）项目管理</w:t>
      </w:r>
      <w:bookmarkEnd w:id="27"/>
    </w:p>
    <w:p>
      <w:pPr>
        <w:pStyle w:val="4"/>
        <w:spacing w:before="120" w:after="120" w:line="480" w:lineRule="auto"/>
        <w:ind w:left="640" w:leftChars="200"/>
        <w:rPr>
          <w:rFonts w:ascii="仿宋_GB2312"/>
          <w:b w:val="0"/>
          <w:bCs w:val="0"/>
        </w:rPr>
      </w:pPr>
      <w:bookmarkStart w:id="28" w:name="_Toc56703392"/>
      <w:r>
        <w:rPr>
          <w:rFonts w:hint="eastAsia" w:ascii="仿宋_GB2312"/>
          <w:b w:val="0"/>
          <w:bCs w:val="0"/>
        </w:rPr>
        <w:t>1.资金到位情况</w:t>
      </w:r>
      <w:bookmarkEnd w:id="28"/>
    </w:p>
    <w:tbl>
      <w:tblPr>
        <w:tblStyle w:val="13"/>
        <w:tblW w:w="864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2504"/>
        <w:gridCol w:w="4426"/>
        <w:gridCol w:w="17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84" w:hRule="atLeast"/>
          <w:jc w:val="center"/>
        </w:trPr>
        <w:tc>
          <w:tcPr>
            <w:tcW w:w="2504" w:type="dxa"/>
            <w:shd w:val="clear" w:color="auto" w:fill="auto"/>
            <w:tcMar>
              <w:top w:w="10" w:type="dxa"/>
              <w:left w:w="10" w:type="dxa"/>
              <w:right w:w="10" w:type="dxa"/>
            </w:tcMar>
          </w:tcPr>
          <w:p>
            <w:pPr>
              <w:widowControl/>
              <w:jc w:val="center"/>
              <w:textAlignment w:val="top"/>
              <w:rPr>
                <w:rFonts w:ascii="仿宋_GB2312" w:hAnsi="仿宋_GB2312" w:cs="仿宋_GB2312"/>
                <w:b/>
                <w:color w:val="000000"/>
                <w:kern w:val="0"/>
                <w:sz w:val="28"/>
                <w:szCs w:val="28"/>
                <w:lang w:bidi="ar"/>
              </w:rPr>
            </w:pPr>
            <w:r>
              <w:rPr>
                <w:rFonts w:hint="eastAsia" w:ascii="仿宋_GB2312" w:hAnsi="仿宋_GB2312" w:cs="仿宋_GB2312"/>
                <w:b/>
                <w:color w:val="000000"/>
                <w:kern w:val="0"/>
                <w:sz w:val="28"/>
                <w:szCs w:val="28"/>
                <w:lang w:bidi="ar"/>
              </w:rPr>
              <w:t>下达资金文件时间</w:t>
            </w:r>
          </w:p>
        </w:tc>
        <w:tc>
          <w:tcPr>
            <w:tcW w:w="4426" w:type="dxa"/>
            <w:shd w:val="clear" w:color="auto" w:fill="auto"/>
            <w:tcMar>
              <w:top w:w="10" w:type="dxa"/>
              <w:left w:w="10" w:type="dxa"/>
              <w:right w:w="10" w:type="dxa"/>
            </w:tcMar>
          </w:tcPr>
          <w:p>
            <w:pPr>
              <w:widowControl/>
              <w:jc w:val="center"/>
              <w:textAlignment w:val="top"/>
              <w:rPr>
                <w:rFonts w:ascii="仿宋_GB2312" w:hAnsi="仿宋_GB2312" w:cs="仿宋_GB2312"/>
                <w:b/>
                <w:color w:val="000000"/>
                <w:sz w:val="28"/>
                <w:szCs w:val="28"/>
              </w:rPr>
            </w:pPr>
            <w:r>
              <w:rPr>
                <w:rFonts w:hint="eastAsia" w:ascii="仿宋_GB2312" w:hAnsi="仿宋_GB2312" w:cs="仿宋_GB2312"/>
                <w:b/>
                <w:color w:val="000000"/>
                <w:kern w:val="0"/>
                <w:sz w:val="28"/>
                <w:szCs w:val="28"/>
                <w:lang w:bidi="ar"/>
              </w:rPr>
              <w:t>资金来源</w:t>
            </w:r>
          </w:p>
        </w:tc>
        <w:tc>
          <w:tcPr>
            <w:tcW w:w="1715" w:type="dxa"/>
            <w:shd w:val="clear" w:color="auto" w:fill="auto"/>
            <w:tcMar>
              <w:top w:w="10" w:type="dxa"/>
              <w:left w:w="10" w:type="dxa"/>
              <w:right w:w="10" w:type="dxa"/>
            </w:tcMar>
          </w:tcPr>
          <w:p>
            <w:pPr>
              <w:widowControl/>
              <w:jc w:val="center"/>
              <w:textAlignment w:val="top"/>
              <w:rPr>
                <w:rFonts w:ascii="仿宋_GB2312" w:hAnsi="仿宋_GB2312" w:cs="仿宋_GB2312"/>
                <w:b/>
                <w:color w:val="000000"/>
                <w:sz w:val="28"/>
                <w:szCs w:val="28"/>
              </w:rPr>
            </w:pPr>
            <w:r>
              <w:rPr>
                <w:rFonts w:hint="eastAsia" w:ascii="仿宋_GB2312" w:hAnsi="仿宋_GB2312" w:cs="仿宋_GB2312"/>
                <w:b/>
                <w:color w:val="000000"/>
                <w:kern w:val="0"/>
                <w:sz w:val="28"/>
                <w:szCs w:val="28"/>
                <w:lang w:bidi="ar"/>
              </w:rPr>
              <w:t>金额（万元）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78" w:hRule="atLeast"/>
          <w:jc w:val="center"/>
        </w:trPr>
        <w:tc>
          <w:tcPr>
            <w:tcW w:w="2504" w:type="dxa"/>
            <w:shd w:val="clear" w:color="auto" w:fill="auto"/>
            <w:tcMar>
              <w:top w:w="10" w:type="dxa"/>
              <w:left w:w="10" w:type="dxa"/>
              <w:right w:w="10" w:type="dxa"/>
            </w:tcMar>
            <w:vAlign w:val="center"/>
          </w:tcPr>
          <w:p>
            <w:pPr>
              <w:widowControl/>
              <w:jc w:val="center"/>
              <w:textAlignment w:val="center"/>
              <w:rPr>
                <w:rFonts w:ascii="仿宋_GB2312" w:hAnsi="仿宋_GB2312" w:cs="仿宋_GB2312"/>
                <w:color w:val="000000"/>
                <w:kern w:val="0"/>
                <w:sz w:val="28"/>
                <w:szCs w:val="28"/>
                <w:lang w:bidi="ar"/>
              </w:rPr>
            </w:pPr>
            <w:r>
              <w:rPr>
                <w:rFonts w:hint="eastAsia" w:ascii="仿宋_GB2312" w:hAnsi="仿宋_GB2312" w:cs="仿宋_GB2312"/>
                <w:color w:val="000000"/>
                <w:kern w:val="0"/>
                <w:sz w:val="28"/>
                <w:szCs w:val="28"/>
                <w:lang w:bidi="ar"/>
              </w:rPr>
              <w:t>2019年12月</w:t>
            </w:r>
          </w:p>
        </w:tc>
        <w:tc>
          <w:tcPr>
            <w:tcW w:w="4426" w:type="dxa"/>
            <w:shd w:val="clear" w:color="auto" w:fill="auto"/>
            <w:tcMar>
              <w:top w:w="10" w:type="dxa"/>
              <w:left w:w="10" w:type="dxa"/>
              <w:right w:w="10" w:type="dxa"/>
            </w:tcMar>
            <w:vAlign w:val="center"/>
          </w:tcPr>
          <w:p>
            <w:pPr>
              <w:widowControl/>
              <w:jc w:val="center"/>
              <w:textAlignment w:val="center"/>
              <w:rPr>
                <w:rFonts w:ascii="仿宋_GB2312" w:hAnsi="仿宋_GB2312" w:cs="仿宋_GB2312"/>
                <w:color w:val="000000"/>
                <w:sz w:val="28"/>
                <w:szCs w:val="28"/>
              </w:rPr>
            </w:pPr>
            <w:r>
              <w:rPr>
                <w:rFonts w:hint="eastAsia" w:ascii="仿宋_GB2312" w:hAnsi="仿宋_GB2312" w:cs="仿宋_GB2312"/>
                <w:color w:val="000000"/>
                <w:kern w:val="0"/>
                <w:sz w:val="28"/>
                <w:szCs w:val="28"/>
                <w:lang w:bidi="ar"/>
              </w:rPr>
              <w:t>2019年区级财政资金</w:t>
            </w:r>
          </w:p>
        </w:tc>
        <w:tc>
          <w:tcPr>
            <w:tcW w:w="1715" w:type="dxa"/>
            <w:shd w:val="clear" w:color="auto" w:fill="auto"/>
            <w:tcMar>
              <w:top w:w="10" w:type="dxa"/>
              <w:left w:w="10" w:type="dxa"/>
              <w:right w:w="10" w:type="dxa"/>
            </w:tcMar>
            <w:vAlign w:val="center"/>
          </w:tcPr>
          <w:p>
            <w:pPr>
              <w:widowControl/>
              <w:jc w:val="center"/>
              <w:textAlignment w:val="center"/>
              <w:rPr>
                <w:rFonts w:ascii="仿宋_GB2312" w:hAnsi="仿宋_GB2312" w:cs="仿宋_GB2312"/>
                <w:color w:val="000000"/>
                <w:sz w:val="28"/>
                <w:szCs w:val="28"/>
              </w:rPr>
            </w:pPr>
            <w:r>
              <w:rPr>
                <w:rFonts w:hint="eastAsia" w:ascii="仿宋_GB2312" w:hAnsi="仿宋_GB2312" w:cs="仿宋_GB2312"/>
                <w:color w:val="000000"/>
                <w:sz w:val="28"/>
                <w:szCs w:val="28"/>
              </w:rPr>
              <w:t>40.0</w:t>
            </w:r>
            <w:r>
              <w:rPr>
                <w:rFonts w:ascii="仿宋_GB2312" w:hAnsi="仿宋_GB2312" w:cs="仿宋_GB2312"/>
                <w:color w:val="000000"/>
                <w:sz w:val="28"/>
                <w:szCs w:val="28"/>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06" w:hRule="atLeast"/>
          <w:jc w:val="center"/>
        </w:trPr>
        <w:tc>
          <w:tcPr>
            <w:tcW w:w="2504" w:type="dxa"/>
            <w:shd w:val="clear" w:color="auto" w:fill="auto"/>
            <w:tcMar>
              <w:top w:w="10" w:type="dxa"/>
              <w:left w:w="10" w:type="dxa"/>
              <w:right w:w="10" w:type="dxa"/>
            </w:tcMar>
          </w:tcPr>
          <w:p>
            <w:pPr>
              <w:widowControl/>
              <w:jc w:val="center"/>
              <w:textAlignment w:val="top"/>
              <w:rPr>
                <w:rFonts w:ascii="仿宋_GB2312" w:hAnsi="仿宋_GB2312" w:cs="仿宋_GB2312"/>
                <w:b/>
                <w:color w:val="000000"/>
                <w:kern w:val="0"/>
                <w:sz w:val="28"/>
                <w:szCs w:val="28"/>
                <w:lang w:bidi="ar"/>
              </w:rPr>
            </w:pPr>
          </w:p>
        </w:tc>
        <w:tc>
          <w:tcPr>
            <w:tcW w:w="4426" w:type="dxa"/>
            <w:shd w:val="clear" w:color="auto" w:fill="auto"/>
            <w:tcMar>
              <w:top w:w="10" w:type="dxa"/>
              <w:left w:w="10" w:type="dxa"/>
              <w:right w:w="10" w:type="dxa"/>
            </w:tcMar>
          </w:tcPr>
          <w:p>
            <w:pPr>
              <w:widowControl/>
              <w:jc w:val="center"/>
              <w:textAlignment w:val="top"/>
              <w:rPr>
                <w:rFonts w:ascii="仿宋_GB2312" w:hAnsi="仿宋_GB2312" w:cs="仿宋_GB2312"/>
                <w:b/>
                <w:color w:val="000000"/>
                <w:sz w:val="28"/>
                <w:szCs w:val="28"/>
              </w:rPr>
            </w:pPr>
            <w:r>
              <w:rPr>
                <w:rFonts w:hint="eastAsia" w:ascii="仿宋_GB2312" w:hAnsi="仿宋_GB2312" w:cs="仿宋_GB2312"/>
                <w:b/>
                <w:color w:val="000000"/>
                <w:kern w:val="0"/>
                <w:sz w:val="28"/>
                <w:szCs w:val="28"/>
                <w:lang w:bidi="ar"/>
              </w:rPr>
              <w:t>合计</w:t>
            </w:r>
          </w:p>
        </w:tc>
        <w:tc>
          <w:tcPr>
            <w:tcW w:w="1715" w:type="dxa"/>
            <w:shd w:val="clear" w:color="auto" w:fill="auto"/>
            <w:tcMar>
              <w:top w:w="10" w:type="dxa"/>
              <w:left w:w="10" w:type="dxa"/>
              <w:right w:w="10" w:type="dxa"/>
            </w:tcMar>
          </w:tcPr>
          <w:p>
            <w:pPr>
              <w:widowControl/>
              <w:jc w:val="center"/>
              <w:textAlignment w:val="top"/>
              <w:rPr>
                <w:rFonts w:ascii="仿宋_GB2312" w:hAnsi="仿宋_GB2312" w:cs="仿宋_GB2312"/>
                <w:b/>
                <w:color w:val="000000"/>
                <w:sz w:val="28"/>
                <w:szCs w:val="28"/>
              </w:rPr>
            </w:pPr>
            <w:r>
              <w:rPr>
                <w:rFonts w:hint="eastAsia" w:ascii="仿宋_GB2312" w:hAnsi="仿宋_GB2312" w:cs="仿宋_GB2312"/>
                <w:b/>
                <w:color w:val="000000"/>
                <w:sz w:val="28"/>
                <w:szCs w:val="28"/>
              </w:rPr>
              <w:t>40</w:t>
            </w:r>
            <w:r>
              <w:rPr>
                <w:rFonts w:ascii="仿宋_GB2312" w:hAnsi="仿宋_GB2312" w:cs="仿宋_GB2312"/>
                <w:b/>
                <w:color w:val="000000"/>
                <w:sz w:val="28"/>
                <w:szCs w:val="28"/>
              </w:rPr>
              <w:t>.00</w:t>
            </w:r>
          </w:p>
        </w:tc>
      </w:tr>
    </w:tbl>
    <w:p>
      <w:pPr>
        <w:pStyle w:val="4"/>
        <w:spacing w:before="120" w:after="120" w:line="480" w:lineRule="auto"/>
        <w:ind w:firstLine="640" w:firstLineChars="200"/>
        <w:rPr>
          <w:rFonts w:ascii="仿宋_GB2312"/>
          <w:b w:val="0"/>
          <w:bCs w:val="0"/>
        </w:rPr>
      </w:pPr>
      <w:bookmarkStart w:id="29" w:name="_Toc56703393"/>
      <w:r>
        <w:rPr>
          <w:rFonts w:hint="eastAsia" w:ascii="仿宋_GB2312"/>
          <w:b w:val="0"/>
          <w:bCs w:val="0"/>
        </w:rPr>
        <w:t>2.资金管理情况</w:t>
      </w:r>
      <w:bookmarkEnd w:id="29"/>
    </w:p>
    <w:p>
      <w:pPr>
        <w:spacing w:line="600" w:lineRule="exact"/>
        <w:ind w:firstLine="640" w:firstLineChars="200"/>
      </w:pPr>
      <w:r>
        <w:rPr>
          <w:rFonts w:hint="eastAsia"/>
        </w:rPr>
        <w:t>本项目按高新区管委会2</w:t>
      </w:r>
      <w:r>
        <w:t>019</w:t>
      </w:r>
      <w:r>
        <w:rPr>
          <w:rFonts w:hint="eastAsia"/>
        </w:rPr>
        <w:t>年制订的《机关财务管理制度》要求执行，项目资金到位即支付，使用符合专款专用的规定。</w:t>
      </w:r>
    </w:p>
    <w:p>
      <w:pPr>
        <w:pStyle w:val="4"/>
        <w:spacing w:before="120" w:after="120" w:line="480" w:lineRule="auto"/>
        <w:ind w:firstLine="640" w:firstLineChars="200"/>
        <w:rPr>
          <w:rFonts w:ascii="仿宋_GB2312"/>
          <w:b w:val="0"/>
          <w:bCs w:val="0"/>
        </w:rPr>
      </w:pPr>
      <w:bookmarkStart w:id="30" w:name="_Toc56703394"/>
      <w:r>
        <w:rPr>
          <w:rFonts w:hint="eastAsia" w:ascii="仿宋_GB2312"/>
          <w:b w:val="0"/>
          <w:bCs w:val="0"/>
        </w:rPr>
        <w:t>3.财务管理情况</w:t>
      </w:r>
      <w:bookmarkEnd w:id="30"/>
    </w:p>
    <w:p>
      <w:pPr>
        <w:spacing w:line="600" w:lineRule="exact"/>
        <w:ind w:firstLine="640" w:firstLineChars="200"/>
      </w:pPr>
      <w:r>
        <w:rPr>
          <w:rFonts w:hint="eastAsia"/>
        </w:rPr>
        <w:t>本项目未制定相应的财务管理制度，未设置专账核算。</w:t>
      </w:r>
    </w:p>
    <w:p>
      <w:pPr>
        <w:pStyle w:val="4"/>
        <w:spacing w:before="120" w:after="120" w:line="480" w:lineRule="auto"/>
        <w:ind w:firstLine="640" w:firstLineChars="200"/>
        <w:rPr>
          <w:rFonts w:ascii="仿宋_GB2312"/>
          <w:b w:val="0"/>
          <w:bCs w:val="0"/>
        </w:rPr>
      </w:pPr>
      <w:bookmarkStart w:id="31" w:name="_Toc56703395"/>
      <w:r>
        <w:rPr>
          <w:rFonts w:hint="eastAsia" w:ascii="仿宋_GB2312"/>
          <w:b w:val="0"/>
          <w:bCs w:val="0"/>
        </w:rPr>
        <w:t>4.组织实施情况</w:t>
      </w:r>
      <w:bookmarkEnd w:id="31"/>
    </w:p>
    <w:p>
      <w:pPr>
        <w:widowControl/>
        <w:spacing w:line="600" w:lineRule="exact"/>
        <w:ind w:firstLine="640" w:firstLineChars="200"/>
        <w:rPr>
          <w:rFonts w:ascii="仿宋_GB2312" w:hAnsi="仿宋_GB2312" w:cs="仿宋_GB2312"/>
          <w:szCs w:val="32"/>
        </w:rPr>
      </w:pPr>
      <w:r>
        <w:rPr>
          <w:rFonts w:hint="eastAsia" w:ascii="仿宋_GB2312" w:hAnsi="仿宋_GB2312" w:cs="仿宋_GB2312"/>
          <w:szCs w:val="32"/>
        </w:rPr>
        <w:t>本项目由</w:t>
      </w:r>
      <w:commentRangeStart w:id="5"/>
      <w:r>
        <w:rPr>
          <w:rFonts w:hint="eastAsia" w:ascii="仿宋_GB2312" w:hAnsi="仿宋_GB2312" w:cs="仿宋_GB2312"/>
          <w:szCs w:val="32"/>
        </w:rPr>
        <w:t>科创经发局</w:t>
      </w:r>
      <w:commentRangeEnd w:id="5"/>
      <w:r>
        <w:commentReference w:id="5"/>
      </w:r>
      <w:r>
        <w:rPr>
          <w:rFonts w:hint="eastAsia" w:ascii="仿宋_GB2312" w:hAnsi="仿宋_GB2312" w:cs="仿宋_GB2312"/>
          <w:szCs w:val="32"/>
        </w:rPr>
        <w:t>负责实施。根据2012年中国西部现代物流港管理委员会与四川物联亿达科技有限公司签订的《中国西部现代物流港管委会物流公共信息平台项目合作协议书》第2.14.1条关于系统维护工作内容约定：“乙方承担系统投入运行六个月内的优化，以及运行一年内的维护。运行一年之后的维护服务，甲乙双方可根据情况另立维护协议”；协议书4.1项目集成服务费用内容约定：“物流公共信息平台整体验收后，进入正式的整体运行，整体运行第一年内的维护费用已含在此集成服务费用中，第二年开始，每年维护及运营费为人民币50万(大写:伍拾万元整)”。</w:t>
      </w:r>
    </w:p>
    <w:p>
      <w:pPr>
        <w:widowControl/>
        <w:spacing w:line="600" w:lineRule="exact"/>
        <w:ind w:firstLine="640" w:firstLineChars="200"/>
        <w:rPr>
          <w:rFonts w:ascii="仿宋_GB2312" w:hAnsi="仿宋_GB2312" w:cs="仿宋_GB2312"/>
          <w:szCs w:val="32"/>
        </w:rPr>
      </w:pPr>
      <w:r>
        <w:rPr>
          <w:rFonts w:hint="eastAsia"/>
        </w:rPr>
        <w:t>2019年维护费金额发生变化，未签订变更协议。</w:t>
      </w:r>
      <w:r>
        <w:rPr>
          <w:rFonts w:hint="eastAsia" w:ascii="仿宋_GB2312" w:hAnsi="仿宋_GB2312" w:cs="仿宋_GB2312"/>
          <w:szCs w:val="32"/>
        </w:rPr>
        <w:t>于2</w:t>
      </w:r>
      <w:r>
        <w:rPr>
          <w:rFonts w:ascii="仿宋_GB2312" w:hAnsi="仿宋_GB2312" w:cs="仿宋_GB2312"/>
          <w:szCs w:val="32"/>
        </w:rPr>
        <w:t>019</w:t>
      </w:r>
      <w:r>
        <w:rPr>
          <w:rFonts w:hint="eastAsia" w:ascii="仿宋_GB2312" w:hAnsi="仿宋_GB2312" w:cs="仿宋_GB2312"/>
          <w:szCs w:val="32"/>
        </w:rPr>
        <w:t>年1</w:t>
      </w:r>
      <w:r>
        <w:rPr>
          <w:rFonts w:ascii="仿宋_GB2312" w:hAnsi="仿宋_GB2312" w:cs="仿宋_GB2312"/>
          <w:szCs w:val="32"/>
        </w:rPr>
        <w:t>2</w:t>
      </w:r>
      <w:r>
        <w:rPr>
          <w:rFonts w:hint="eastAsia" w:ascii="仿宋_GB2312" w:hAnsi="仿宋_GB2312" w:cs="仿宋_GB2312"/>
          <w:szCs w:val="32"/>
        </w:rPr>
        <w:t>月1</w:t>
      </w:r>
      <w:r>
        <w:rPr>
          <w:rFonts w:ascii="仿宋_GB2312" w:hAnsi="仿宋_GB2312" w:cs="仿宋_GB2312"/>
          <w:szCs w:val="32"/>
        </w:rPr>
        <w:t>9</w:t>
      </w:r>
      <w:r>
        <w:rPr>
          <w:rFonts w:hint="eastAsia" w:ascii="仿宋_GB2312" w:hAnsi="仿宋_GB2312" w:cs="仿宋_GB2312"/>
          <w:szCs w:val="32"/>
        </w:rPr>
        <w:t>日由</w:t>
      </w:r>
      <w:commentRangeStart w:id="6"/>
      <w:r>
        <w:rPr>
          <w:rFonts w:hint="eastAsia" w:ascii="仿宋_GB2312" w:hAnsi="仿宋_GB2312" w:cs="仿宋_GB2312"/>
          <w:szCs w:val="32"/>
        </w:rPr>
        <w:t>科创经发局</w:t>
      </w:r>
      <w:commentRangeEnd w:id="6"/>
      <w:r>
        <w:commentReference w:id="6"/>
      </w:r>
      <w:r>
        <w:rPr>
          <w:rFonts w:hint="eastAsia" w:ascii="仿宋_GB2312" w:hAnsi="仿宋_GB2312" w:cs="仿宋_GB2312"/>
          <w:szCs w:val="32"/>
        </w:rPr>
        <w:t>向四川物联亿达科技有限公司支付了4</w:t>
      </w:r>
      <w:r>
        <w:rPr>
          <w:rFonts w:ascii="仿宋_GB2312" w:hAnsi="仿宋_GB2312" w:cs="仿宋_GB2312"/>
          <w:szCs w:val="32"/>
        </w:rPr>
        <w:t>0</w:t>
      </w:r>
      <w:r>
        <w:rPr>
          <w:rFonts w:hint="eastAsia" w:ascii="仿宋_GB2312" w:hAnsi="仿宋_GB2312" w:cs="仿宋_GB2312"/>
          <w:szCs w:val="32"/>
        </w:rPr>
        <w:t>万元维护服务费用。</w:t>
      </w:r>
    </w:p>
    <w:p>
      <w:pPr>
        <w:pStyle w:val="2"/>
        <w:spacing w:before="0" w:after="0" w:line="600" w:lineRule="auto"/>
        <w:rPr>
          <w:rFonts w:ascii="黑体" w:hAnsi="黑体" w:eastAsia="黑体"/>
          <w:sz w:val="32"/>
          <w:szCs w:val="32"/>
        </w:rPr>
      </w:pPr>
      <w:bookmarkStart w:id="32" w:name="_Toc56703396"/>
      <w:r>
        <w:rPr>
          <w:rFonts w:hint="eastAsia" w:ascii="黑体" w:hAnsi="黑体" w:eastAsia="黑体"/>
          <w:sz w:val="32"/>
          <w:szCs w:val="32"/>
        </w:rPr>
        <w:t>四、项目绩效情况</w:t>
      </w:r>
      <w:bookmarkEnd w:id="32"/>
    </w:p>
    <w:p>
      <w:pPr>
        <w:pStyle w:val="3"/>
        <w:spacing w:before="240" w:after="240" w:line="480" w:lineRule="auto"/>
        <w:ind w:left="640" w:leftChars="200"/>
        <w:rPr>
          <w:rFonts w:ascii="楷体_GB2312" w:eastAsia="楷体_GB2312"/>
        </w:rPr>
      </w:pPr>
      <w:bookmarkStart w:id="33" w:name="_Toc56703397"/>
      <w:r>
        <w:rPr>
          <w:rFonts w:hint="eastAsia" w:ascii="楷体_GB2312" w:eastAsia="楷体_GB2312"/>
        </w:rPr>
        <w:t>（一）项目完成情况</w:t>
      </w:r>
      <w:bookmarkEnd w:id="33"/>
    </w:p>
    <w:p>
      <w:pPr>
        <w:pStyle w:val="4"/>
        <w:spacing w:before="120" w:after="120" w:line="480" w:lineRule="auto"/>
        <w:ind w:left="640" w:leftChars="200"/>
        <w:rPr>
          <w:rFonts w:ascii="仿宋_GB2312"/>
          <w:b w:val="0"/>
          <w:bCs w:val="0"/>
        </w:rPr>
      </w:pPr>
      <w:bookmarkStart w:id="34" w:name="_Toc56703398"/>
      <w:r>
        <w:rPr>
          <w:rFonts w:hint="eastAsia" w:ascii="仿宋_GB2312"/>
          <w:b w:val="0"/>
          <w:bCs w:val="0"/>
        </w:rPr>
        <w:t>1.完成数量</w:t>
      </w:r>
      <w:bookmarkEnd w:id="34"/>
    </w:p>
    <w:tbl>
      <w:tblPr>
        <w:tblStyle w:val="13"/>
        <w:tblpPr w:leftFromText="180" w:rightFromText="180" w:vertAnchor="text" w:horzAnchor="margin" w:tblpX="704" w:tblpY="115"/>
        <w:tblOverlap w:val="never"/>
        <w:tblW w:w="795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3432"/>
        <w:gridCol w:w="1667"/>
        <w:gridCol w:w="1566"/>
        <w:gridCol w:w="12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7" w:hRule="atLeast"/>
        </w:trPr>
        <w:tc>
          <w:tcPr>
            <w:tcW w:w="3432" w:type="dxa"/>
            <w:shd w:val="clear" w:color="auto" w:fill="auto"/>
            <w:tcMar>
              <w:top w:w="10" w:type="dxa"/>
              <w:left w:w="10" w:type="dxa"/>
              <w:right w:w="10" w:type="dxa"/>
            </w:tcMar>
            <w:vAlign w:val="center"/>
          </w:tcPr>
          <w:p>
            <w:pPr>
              <w:widowControl/>
              <w:jc w:val="center"/>
              <w:textAlignment w:val="center"/>
              <w:rPr>
                <w:rFonts w:ascii="仿宋_GB2312" w:hAnsi="仿宋_GB2312" w:cs="仿宋_GB2312"/>
                <w:b/>
                <w:color w:val="000000"/>
                <w:sz w:val="21"/>
                <w:szCs w:val="21"/>
              </w:rPr>
            </w:pPr>
            <w:bookmarkStart w:id="35" w:name="_Toc14821"/>
            <w:r>
              <w:rPr>
                <w:rFonts w:hint="eastAsia" w:ascii="华文楷体" w:hAnsi="华文楷体" w:eastAsia="华文楷体" w:cs="华文楷体"/>
                <w:b/>
                <w:color w:val="000000"/>
                <w:kern w:val="0"/>
                <w:sz w:val="24"/>
                <w:lang w:bidi="ar"/>
              </w:rPr>
              <w:t>目标内容</w:t>
            </w:r>
          </w:p>
        </w:tc>
        <w:tc>
          <w:tcPr>
            <w:tcW w:w="1667" w:type="dxa"/>
            <w:shd w:val="clear" w:color="auto" w:fill="auto"/>
            <w:tcMar>
              <w:top w:w="10" w:type="dxa"/>
              <w:left w:w="10" w:type="dxa"/>
              <w:right w:w="10" w:type="dxa"/>
            </w:tcMar>
            <w:vAlign w:val="center"/>
          </w:tcPr>
          <w:p>
            <w:pPr>
              <w:widowControl/>
              <w:jc w:val="center"/>
              <w:textAlignment w:val="center"/>
              <w:rPr>
                <w:rFonts w:ascii="仿宋_GB2312" w:hAnsi="仿宋_GB2312" w:cs="仿宋_GB2312"/>
                <w:b/>
                <w:color w:val="000000"/>
                <w:sz w:val="21"/>
                <w:szCs w:val="21"/>
              </w:rPr>
            </w:pPr>
            <w:r>
              <w:rPr>
                <w:rFonts w:hint="eastAsia" w:ascii="华文楷体" w:hAnsi="华文楷体" w:eastAsia="华文楷体" w:cs="华文楷体"/>
                <w:b/>
                <w:color w:val="000000"/>
                <w:kern w:val="0"/>
                <w:sz w:val="24"/>
                <w:lang w:bidi="ar"/>
              </w:rPr>
              <w:t>目标值</w:t>
            </w:r>
          </w:p>
        </w:tc>
        <w:tc>
          <w:tcPr>
            <w:tcW w:w="1566" w:type="dxa"/>
            <w:shd w:val="clear" w:color="auto" w:fill="auto"/>
            <w:tcMar>
              <w:top w:w="10" w:type="dxa"/>
              <w:left w:w="10" w:type="dxa"/>
              <w:right w:w="10" w:type="dxa"/>
            </w:tcMar>
            <w:vAlign w:val="center"/>
          </w:tcPr>
          <w:p>
            <w:pPr>
              <w:widowControl/>
              <w:jc w:val="center"/>
              <w:textAlignment w:val="center"/>
              <w:rPr>
                <w:rFonts w:ascii="仿宋_GB2312" w:hAnsi="仿宋_GB2312" w:cs="仿宋_GB2312"/>
                <w:b/>
                <w:color w:val="000000"/>
                <w:sz w:val="21"/>
                <w:szCs w:val="21"/>
              </w:rPr>
            </w:pPr>
            <w:r>
              <w:rPr>
                <w:rFonts w:hint="eastAsia" w:ascii="华文楷体" w:hAnsi="华文楷体" w:eastAsia="华文楷体" w:cs="华文楷体"/>
                <w:b/>
                <w:color w:val="000000"/>
                <w:kern w:val="0"/>
                <w:sz w:val="24"/>
                <w:lang w:bidi="ar"/>
              </w:rPr>
              <w:t>实际完成值</w:t>
            </w:r>
          </w:p>
        </w:tc>
        <w:tc>
          <w:tcPr>
            <w:tcW w:w="1290" w:type="dxa"/>
            <w:shd w:val="clear" w:color="auto" w:fill="auto"/>
            <w:tcMar>
              <w:top w:w="10" w:type="dxa"/>
              <w:left w:w="10" w:type="dxa"/>
              <w:right w:w="10" w:type="dxa"/>
            </w:tcMar>
            <w:vAlign w:val="center"/>
          </w:tcPr>
          <w:p>
            <w:pPr>
              <w:widowControl/>
              <w:jc w:val="center"/>
              <w:textAlignment w:val="center"/>
              <w:rPr>
                <w:rFonts w:ascii="仿宋_GB2312" w:hAnsi="仿宋_GB2312" w:cs="仿宋_GB2312"/>
                <w:b/>
                <w:color w:val="000000"/>
                <w:sz w:val="21"/>
                <w:szCs w:val="21"/>
              </w:rPr>
            </w:pPr>
            <w:r>
              <w:rPr>
                <w:rFonts w:hint="eastAsia" w:ascii="华文楷体" w:hAnsi="华文楷体" w:eastAsia="华文楷体" w:cs="华文楷体"/>
                <w:b/>
                <w:color w:val="000000"/>
                <w:kern w:val="0"/>
                <w:sz w:val="24"/>
                <w:lang w:bidi="ar"/>
              </w:rPr>
              <w:t>完成百分比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21" w:hRule="atLeast"/>
        </w:trPr>
        <w:tc>
          <w:tcPr>
            <w:tcW w:w="3432" w:type="dxa"/>
            <w:shd w:val="clear" w:color="auto" w:fill="auto"/>
            <w:tcMar>
              <w:top w:w="10" w:type="dxa"/>
              <w:left w:w="10" w:type="dxa"/>
              <w:right w:w="10" w:type="dxa"/>
            </w:tcMar>
            <w:vAlign w:val="center"/>
          </w:tcPr>
          <w:p>
            <w:pPr>
              <w:jc w:val="center"/>
              <w:rPr>
                <w:rFonts w:ascii="仿宋_GB2312" w:hAnsi="仿宋_GB2312" w:cs="仿宋_GB2312"/>
                <w:color w:val="000000"/>
                <w:sz w:val="21"/>
                <w:szCs w:val="21"/>
              </w:rPr>
            </w:pPr>
            <w:r>
              <w:rPr>
                <w:rFonts w:hint="eastAsia" w:ascii="华文楷体" w:hAnsi="华文楷体" w:eastAsia="华文楷体" w:cs="华文楷体"/>
                <w:color w:val="000000"/>
                <w:kern w:val="0"/>
                <w:sz w:val="24"/>
                <w:lang w:bidi="ar"/>
              </w:rPr>
              <w:t>注册个人会员数</w:t>
            </w:r>
          </w:p>
        </w:tc>
        <w:tc>
          <w:tcPr>
            <w:tcW w:w="1667" w:type="dxa"/>
            <w:shd w:val="clear" w:color="auto" w:fill="auto"/>
            <w:tcMar>
              <w:top w:w="10" w:type="dxa"/>
              <w:left w:w="10" w:type="dxa"/>
              <w:right w:w="10" w:type="dxa"/>
            </w:tcMar>
            <w:vAlign w:val="center"/>
          </w:tcPr>
          <w:p>
            <w:pPr>
              <w:widowControl/>
              <w:jc w:val="center"/>
              <w:textAlignment w:val="center"/>
              <w:rPr>
                <w:rFonts w:ascii="仿宋_GB2312" w:hAnsi="仿宋_GB2312" w:cs="仿宋_GB2312"/>
                <w:color w:val="000000"/>
                <w:sz w:val="21"/>
                <w:szCs w:val="21"/>
              </w:rPr>
            </w:pPr>
            <w:r>
              <w:rPr>
                <w:rFonts w:hint="eastAsia" w:ascii="华文楷体" w:hAnsi="华文楷体" w:eastAsia="华文楷体" w:cs="华文楷体"/>
                <w:color w:val="000000"/>
                <w:kern w:val="0"/>
                <w:sz w:val="24"/>
                <w:lang w:bidi="ar"/>
              </w:rPr>
              <w:t>300</w:t>
            </w:r>
          </w:p>
        </w:tc>
        <w:tc>
          <w:tcPr>
            <w:tcW w:w="1566" w:type="dxa"/>
            <w:shd w:val="clear" w:color="auto" w:fill="auto"/>
            <w:tcMar>
              <w:top w:w="10" w:type="dxa"/>
              <w:left w:w="10" w:type="dxa"/>
              <w:right w:w="10" w:type="dxa"/>
            </w:tcMar>
            <w:vAlign w:val="center"/>
          </w:tcPr>
          <w:p>
            <w:pPr>
              <w:jc w:val="center"/>
              <w:rPr>
                <w:rFonts w:ascii="仿宋_GB2312" w:hAnsi="仿宋_GB2312" w:cs="仿宋_GB2312"/>
                <w:color w:val="000000"/>
                <w:sz w:val="21"/>
                <w:szCs w:val="21"/>
              </w:rPr>
            </w:pPr>
            <w:r>
              <w:rPr>
                <w:rFonts w:hint="eastAsia" w:ascii="华文楷体" w:hAnsi="华文楷体" w:eastAsia="华文楷体" w:cs="华文楷体"/>
                <w:color w:val="000000"/>
                <w:kern w:val="0"/>
                <w:sz w:val="24"/>
                <w:lang w:bidi="ar"/>
              </w:rPr>
              <w:t>348</w:t>
            </w:r>
          </w:p>
        </w:tc>
        <w:tc>
          <w:tcPr>
            <w:tcW w:w="1290" w:type="dxa"/>
            <w:shd w:val="clear" w:color="auto" w:fill="auto"/>
            <w:tcMar>
              <w:top w:w="10" w:type="dxa"/>
              <w:left w:w="10" w:type="dxa"/>
              <w:right w:w="10" w:type="dxa"/>
            </w:tcMar>
            <w:vAlign w:val="center"/>
          </w:tcPr>
          <w:p>
            <w:pPr>
              <w:widowControl/>
              <w:jc w:val="center"/>
              <w:textAlignment w:val="center"/>
              <w:rPr>
                <w:rFonts w:ascii="仿宋_GB2312" w:hAnsi="仿宋_GB2312" w:cs="仿宋_GB2312"/>
                <w:color w:val="000000"/>
                <w:sz w:val="21"/>
                <w:szCs w:val="21"/>
              </w:rPr>
            </w:pPr>
            <w:r>
              <w:rPr>
                <w:rFonts w:hint="eastAsia" w:ascii="华文楷体" w:hAnsi="华文楷体" w:eastAsia="华文楷体" w:cs="华文楷体"/>
                <w:color w:val="000000"/>
                <w:kern w:val="0"/>
                <w:sz w:val="24"/>
                <w:lang w:bidi="ar"/>
              </w:rPr>
              <w:t>116%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21" w:hRule="atLeast"/>
        </w:trPr>
        <w:tc>
          <w:tcPr>
            <w:tcW w:w="3432" w:type="dxa"/>
            <w:shd w:val="clear" w:color="auto" w:fill="auto"/>
            <w:tcMar>
              <w:top w:w="10" w:type="dxa"/>
              <w:left w:w="10" w:type="dxa"/>
              <w:right w:w="10" w:type="dxa"/>
            </w:tcMar>
            <w:vAlign w:val="center"/>
          </w:tcPr>
          <w:p>
            <w:pPr>
              <w:jc w:val="center"/>
              <w:rPr>
                <w:rFonts w:ascii="华文楷体" w:hAnsi="华文楷体" w:eastAsia="华文楷体" w:cs="华文楷体"/>
                <w:color w:val="000000"/>
                <w:kern w:val="0"/>
                <w:sz w:val="24"/>
                <w:lang w:bidi="ar"/>
              </w:rPr>
            </w:pPr>
            <w:r>
              <w:rPr>
                <w:rFonts w:ascii="华文楷体" w:hAnsi="华文楷体" w:eastAsia="华文楷体" w:cs="华文楷体"/>
                <w:color w:val="000000"/>
                <w:kern w:val="0"/>
                <w:sz w:val="24"/>
                <w:lang w:bidi="ar"/>
              </w:rPr>
              <w:t>企业会员数</w:t>
            </w:r>
          </w:p>
        </w:tc>
        <w:tc>
          <w:tcPr>
            <w:tcW w:w="1667" w:type="dxa"/>
            <w:shd w:val="clear" w:color="auto" w:fill="auto"/>
            <w:tcMar>
              <w:top w:w="10" w:type="dxa"/>
              <w:left w:w="10" w:type="dxa"/>
              <w:right w:w="10" w:type="dxa"/>
            </w:tcMar>
            <w:vAlign w:val="center"/>
          </w:tcPr>
          <w:p>
            <w:pPr>
              <w:widowControl/>
              <w:jc w:val="center"/>
              <w:textAlignment w:val="center"/>
              <w:rPr>
                <w:rFonts w:ascii="华文楷体" w:hAnsi="华文楷体" w:eastAsia="华文楷体" w:cs="华文楷体"/>
                <w:color w:val="000000"/>
                <w:kern w:val="0"/>
                <w:sz w:val="24"/>
                <w:lang w:bidi="ar"/>
              </w:rPr>
            </w:pPr>
            <w:r>
              <w:rPr>
                <w:rFonts w:hint="eastAsia" w:ascii="华文楷体" w:hAnsi="华文楷体" w:eastAsia="华文楷体" w:cs="华文楷体"/>
                <w:color w:val="000000"/>
                <w:kern w:val="0"/>
                <w:sz w:val="24"/>
                <w:lang w:bidi="ar"/>
              </w:rPr>
              <w:t>200</w:t>
            </w:r>
          </w:p>
        </w:tc>
        <w:tc>
          <w:tcPr>
            <w:tcW w:w="1566" w:type="dxa"/>
            <w:shd w:val="clear" w:color="auto" w:fill="auto"/>
            <w:tcMar>
              <w:top w:w="10" w:type="dxa"/>
              <w:left w:w="10" w:type="dxa"/>
              <w:right w:w="10" w:type="dxa"/>
            </w:tcMar>
            <w:vAlign w:val="center"/>
          </w:tcPr>
          <w:p>
            <w:pPr>
              <w:jc w:val="center"/>
              <w:rPr>
                <w:rFonts w:ascii="华文楷体" w:hAnsi="华文楷体" w:eastAsia="华文楷体" w:cs="华文楷体"/>
                <w:color w:val="000000"/>
                <w:kern w:val="0"/>
                <w:sz w:val="24"/>
                <w:lang w:bidi="ar"/>
              </w:rPr>
            </w:pPr>
            <w:r>
              <w:rPr>
                <w:rFonts w:hint="eastAsia" w:ascii="华文楷体" w:hAnsi="华文楷体" w:eastAsia="华文楷体" w:cs="华文楷体"/>
                <w:color w:val="000000"/>
                <w:kern w:val="0"/>
                <w:sz w:val="24"/>
                <w:lang w:bidi="ar"/>
              </w:rPr>
              <w:t>177</w:t>
            </w:r>
          </w:p>
        </w:tc>
        <w:tc>
          <w:tcPr>
            <w:tcW w:w="1290" w:type="dxa"/>
            <w:shd w:val="clear" w:color="auto" w:fill="auto"/>
            <w:tcMar>
              <w:top w:w="10" w:type="dxa"/>
              <w:left w:w="10" w:type="dxa"/>
              <w:right w:w="10" w:type="dxa"/>
            </w:tcMar>
            <w:vAlign w:val="center"/>
          </w:tcPr>
          <w:p>
            <w:pPr>
              <w:widowControl/>
              <w:jc w:val="center"/>
              <w:textAlignment w:val="center"/>
              <w:rPr>
                <w:rFonts w:ascii="华文楷体" w:hAnsi="华文楷体" w:eastAsia="华文楷体" w:cs="华文楷体"/>
                <w:color w:val="000000"/>
                <w:kern w:val="0"/>
                <w:sz w:val="24"/>
                <w:lang w:bidi="ar"/>
              </w:rPr>
            </w:pPr>
            <w:r>
              <w:rPr>
                <w:rFonts w:hint="eastAsia" w:ascii="华文楷体" w:hAnsi="华文楷体" w:eastAsia="华文楷体" w:cs="华文楷体"/>
                <w:color w:val="000000"/>
                <w:kern w:val="0"/>
                <w:sz w:val="24"/>
                <w:lang w:bidi="ar"/>
              </w:rPr>
              <w:t>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21" w:hRule="atLeast"/>
        </w:trPr>
        <w:tc>
          <w:tcPr>
            <w:tcW w:w="3432" w:type="dxa"/>
            <w:shd w:val="clear" w:color="auto" w:fill="auto"/>
            <w:tcMar>
              <w:top w:w="10" w:type="dxa"/>
              <w:left w:w="10" w:type="dxa"/>
              <w:right w:w="10" w:type="dxa"/>
            </w:tcMar>
            <w:vAlign w:val="center"/>
          </w:tcPr>
          <w:p>
            <w:pPr>
              <w:jc w:val="center"/>
              <w:rPr>
                <w:rFonts w:ascii="华文楷体" w:hAnsi="华文楷体" w:eastAsia="华文楷体" w:cs="华文楷体"/>
                <w:color w:val="000000"/>
                <w:kern w:val="0"/>
                <w:sz w:val="24"/>
                <w:lang w:bidi="ar"/>
              </w:rPr>
            </w:pPr>
            <w:r>
              <w:rPr>
                <w:rFonts w:ascii="华文楷体" w:hAnsi="华文楷体" w:eastAsia="华文楷体" w:cs="华文楷体"/>
                <w:color w:val="000000"/>
                <w:kern w:val="0"/>
                <w:sz w:val="24"/>
                <w:lang w:bidi="ar"/>
              </w:rPr>
              <w:t>新闻发布量</w:t>
            </w:r>
          </w:p>
        </w:tc>
        <w:tc>
          <w:tcPr>
            <w:tcW w:w="1667" w:type="dxa"/>
            <w:shd w:val="clear" w:color="auto" w:fill="auto"/>
            <w:tcMar>
              <w:top w:w="10" w:type="dxa"/>
              <w:left w:w="10" w:type="dxa"/>
              <w:right w:w="10" w:type="dxa"/>
            </w:tcMar>
            <w:vAlign w:val="center"/>
          </w:tcPr>
          <w:p>
            <w:pPr>
              <w:widowControl/>
              <w:jc w:val="center"/>
              <w:textAlignment w:val="center"/>
              <w:rPr>
                <w:rFonts w:ascii="华文楷体" w:hAnsi="华文楷体" w:eastAsia="华文楷体" w:cs="华文楷体"/>
                <w:color w:val="000000"/>
                <w:kern w:val="0"/>
                <w:sz w:val="24"/>
                <w:lang w:bidi="ar"/>
              </w:rPr>
            </w:pPr>
            <w:r>
              <w:rPr>
                <w:rFonts w:hint="eastAsia" w:ascii="华文楷体" w:hAnsi="华文楷体" w:eastAsia="华文楷体" w:cs="华文楷体"/>
                <w:color w:val="000000"/>
                <w:kern w:val="0"/>
                <w:sz w:val="24"/>
                <w:lang w:bidi="ar"/>
              </w:rPr>
              <w:t>1000</w:t>
            </w:r>
          </w:p>
        </w:tc>
        <w:tc>
          <w:tcPr>
            <w:tcW w:w="1566" w:type="dxa"/>
            <w:shd w:val="clear" w:color="auto" w:fill="auto"/>
            <w:tcMar>
              <w:top w:w="10" w:type="dxa"/>
              <w:left w:w="10" w:type="dxa"/>
              <w:right w:w="10" w:type="dxa"/>
            </w:tcMar>
            <w:vAlign w:val="center"/>
          </w:tcPr>
          <w:p>
            <w:pPr>
              <w:jc w:val="center"/>
              <w:rPr>
                <w:rFonts w:ascii="华文楷体" w:hAnsi="华文楷体" w:eastAsia="华文楷体" w:cs="华文楷体"/>
                <w:color w:val="000000"/>
                <w:kern w:val="0"/>
                <w:sz w:val="24"/>
                <w:lang w:bidi="ar"/>
              </w:rPr>
            </w:pPr>
            <w:r>
              <w:rPr>
                <w:rFonts w:hint="eastAsia" w:ascii="华文楷体" w:hAnsi="华文楷体" w:eastAsia="华文楷体" w:cs="华文楷体"/>
                <w:color w:val="000000"/>
                <w:kern w:val="0"/>
                <w:sz w:val="24"/>
                <w:lang w:bidi="ar"/>
              </w:rPr>
              <w:t>1722</w:t>
            </w:r>
          </w:p>
        </w:tc>
        <w:tc>
          <w:tcPr>
            <w:tcW w:w="1290" w:type="dxa"/>
            <w:shd w:val="clear" w:color="auto" w:fill="auto"/>
            <w:tcMar>
              <w:top w:w="10" w:type="dxa"/>
              <w:left w:w="10" w:type="dxa"/>
              <w:right w:w="10" w:type="dxa"/>
            </w:tcMar>
            <w:vAlign w:val="center"/>
          </w:tcPr>
          <w:p>
            <w:pPr>
              <w:widowControl/>
              <w:jc w:val="center"/>
              <w:textAlignment w:val="center"/>
              <w:rPr>
                <w:rFonts w:ascii="华文楷体" w:hAnsi="华文楷体" w:eastAsia="华文楷体" w:cs="华文楷体"/>
                <w:color w:val="000000"/>
                <w:kern w:val="0"/>
                <w:sz w:val="24"/>
                <w:lang w:bidi="ar"/>
              </w:rPr>
            </w:pPr>
            <w:r>
              <w:rPr>
                <w:rFonts w:hint="eastAsia" w:ascii="华文楷体" w:hAnsi="华文楷体" w:eastAsia="华文楷体" w:cs="华文楷体"/>
                <w:color w:val="000000"/>
                <w:kern w:val="0"/>
                <w:sz w:val="24"/>
                <w:lang w:bidi="ar"/>
              </w:rPr>
              <w:t>172%</w:t>
            </w:r>
          </w:p>
        </w:tc>
      </w:tr>
      <w:bookmarkEnd w:id="35"/>
    </w:tbl>
    <w:p/>
    <w:p>
      <w:pPr>
        <w:pStyle w:val="4"/>
        <w:numPr>
          <w:ilvl w:val="0"/>
          <w:numId w:val="4"/>
        </w:numPr>
        <w:spacing w:before="120" w:after="120" w:line="480" w:lineRule="auto"/>
        <w:ind w:left="640" w:leftChars="200"/>
        <w:rPr>
          <w:rFonts w:ascii="仿宋_GB2312"/>
          <w:b w:val="0"/>
          <w:bCs w:val="0"/>
        </w:rPr>
      </w:pPr>
      <w:bookmarkStart w:id="36" w:name="_Toc29776"/>
      <w:bookmarkStart w:id="37" w:name="_Toc56703399"/>
      <w:r>
        <w:rPr>
          <w:rFonts w:hint="eastAsia" w:ascii="仿宋_GB2312"/>
          <w:b w:val="0"/>
          <w:bCs w:val="0"/>
        </w:rPr>
        <w:t>完成质量</w:t>
      </w:r>
      <w:bookmarkEnd w:id="36"/>
      <w:bookmarkEnd w:id="37"/>
    </w:p>
    <w:p>
      <w:pPr>
        <w:spacing w:line="600" w:lineRule="exact"/>
        <w:ind w:firstLine="640" w:firstLineChars="200"/>
      </w:pPr>
      <w:r>
        <w:rPr>
          <w:rFonts w:hint="eastAsia"/>
        </w:rPr>
        <w:t>本项目</w:t>
      </w:r>
      <w:r>
        <w:rPr>
          <w:rFonts w:hint="eastAsia" w:hAnsi="宋体" w:cs="宋体"/>
        </w:rPr>
        <w:t>保障平台正常运行，未出现较大运行故障。</w:t>
      </w:r>
    </w:p>
    <w:p>
      <w:pPr>
        <w:pStyle w:val="4"/>
        <w:numPr>
          <w:ilvl w:val="0"/>
          <w:numId w:val="4"/>
        </w:numPr>
        <w:spacing w:before="120" w:after="120" w:line="480" w:lineRule="auto"/>
        <w:ind w:left="640" w:leftChars="200"/>
        <w:rPr>
          <w:rFonts w:ascii="仿宋_GB2312"/>
          <w:b w:val="0"/>
          <w:bCs w:val="0"/>
        </w:rPr>
      </w:pPr>
      <w:bookmarkStart w:id="38" w:name="_Toc56703400"/>
      <w:bookmarkStart w:id="39" w:name="_Toc18094"/>
      <w:r>
        <w:rPr>
          <w:rFonts w:hint="eastAsia" w:ascii="仿宋_GB2312"/>
          <w:b w:val="0"/>
          <w:bCs w:val="0"/>
        </w:rPr>
        <w:t>完成时效</w:t>
      </w:r>
      <w:bookmarkEnd w:id="38"/>
      <w:bookmarkEnd w:id="39"/>
    </w:p>
    <w:p>
      <w:pPr>
        <w:spacing w:line="600" w:lineRule="exact"/>
        <w:ind w:firstLine="640" w:firstLineChars="200"/>
        <w:rPr>
          <w:rFonts w:ascii="仿宋_GB2312"/>
        </w:rPr>
      </w:pPr>
      <w:r>
        <w:rPr>
          <w:rFonts w:hint="eastAsia" w:ascii="仿宋_GB2312"/>
        </w:rPr>
        <w:t>本项目为平台日常维修维护，经查“四川遂宁高新技术产业园管理委员会物流公共信息平台2019年系统维护及运营工作报告”，该项目维护至2019年12月31日。</w:t>
      </w:r>
    </w:p>
    <w:p>
      <w:pPr>
        <w:pStyle w:val="3"/>
        <w:spacing w:before="240" w:after="240" w:line="480" w:lineRule="auto"/>
        <w:ind w:left="640" w:leftChars="200"/>
        <w:rPr>
          <w:rFonts w:ascii="楷体_GB2312" w:eastAsia="楷体_GB2312"/>
        </w:rPr>
      </w:pPr>
      <w:bookmarkStart w:id="40" w:name="_Toc56703401"/>
      <w:r>
        <w:rPr>
          <w:rFonts w:hint="eastAsia" w:ascii="楷体_GB2312" w:eastAsia="楷体_GB2312"/>
        </w:rPr>
        <w:t>（二）项目效益情况</w:t>
      </w:r>
      <w:bookmarkEnd w:id="40"/>
    </w:p>
    <w:p>
      <w:pPr>
        <w:spacing w:line="600" w:lineRule="exact"/>
        <w:ind w:firstLine="640" w:firstLineChars="200"/>
        <w:rPr>
          <w:rFonts w:ascii="仿宋_GB2312" w:hAnsi="仿宋_GB2312" w:cs="仿宋_GB2312"/>
          <w:szCs w:val="32"/>
        </w:rPr>
      </w:pPr>
      <w:r>
        <w:rPr>
          <w:rFonts w:hint="eastAsia" w:ascii="仿宋_GB2312" w:hAnsi="仿宋_GB2312" w:cs="仿宋_GB2312"/>
          <w:szCs w:val="32"/>
        </w:rPr>
        <w:t>1.社会知晓度</w:t>
      </w:r>
    </w:p>
    <w:p>
      <w:pPr>
        <w:spacing w:line="600" w:lineRule="exact"/>
        <w:ind w:firstLine="640" w:firstLineChars="200"/>
        <w:rPr>
          <w:rFonts w:ascii="仿宋_GB2312"/>
        </w:rPr>
      </w:pPr>
      <w:r>
        <w:rPr>
          <w:rFonts w:hint="eastAsia" w:ascii="仿宋_GB2312"/>
        </w:rPr>
        <w:t>经过评价组问卷调查，从平台用户和远成物流园区的人员进行调查了解，其对该平台的知晓率仅为27.42%。</w:t>
      </w:r>
    </w:p>
    <w:p>
      <w:pPr>
        <w:spacing w:line="600" w:lineRule="exact"/>
        <w:ind w:firstLine="640" w:firstLineChars="200"/>
        <w:rPr>
          <w:rFonts w:ascii="仿宋_GB2312" w:hAnsi="仿宋_GB2312" w:cs="仿宋_GB2312"/>
          <w:szCs w:val="32"/>
        </w:rPr>
      </w:pPr>
      <w:r>
        <w:rPr>
          <w:rFonts w:hint="eastAsia" w:ascii="仿宋_GB2312" w:hAnsi="仿宋_GB2312" w:cs="仿宋_GB2312"/>
          <w:szCs w:val="32"/>
        </w:rPr>
        <w:t>2.社会效益</w:t>
      </w:r>
    </w:p>
    <w:p>
      <w:pPr>
        <w:spacing w:line="600" w:lineRule="exact"/>
        <w:ind w:firstLine="640" w:firstLineChars="200"/>
        <w:rPr>
          <w:rFonts w:ascii="仿宋_GB2312"/>
        </w:rPr>
      </w:pPr>
      <w:r>
        <w:rPr>
          <w:rFonts w:hint="eastAsia" w:ascii="仿宋_GB2312"/>
        </w:rPr>
        <w:t>根据问卷调查中关于“物流信息平台的建设带来了哪些好处？”，知晓该平台的接受调查者有9</w:t>
      </w:r>
      <w:r>
        <w:rPr>
          <w:rFonts w:ascii="仿宋_GB2312"/>
        </w:rPr>
        <w:t>5.8%</w:t>
      </w:r>
      <w:r>
        <w:rPr>
          <w:rFonts w:hint="eastAsia" w:ascii="仿宋_GB2312"/>
        </w:rPr>
        <w:t>认为有好处。</w:t>
      </w:r>
    </w:p>
    <w:p>
      <w:pPr>
        <w:spacing w:line="600" w:lineRule="exact"/>
        <w:ind w:left="640" w:leftChars="200"/>
        <w:rPr>
          <w:rFonts w:ascii="仿宋_GB2312" w:hAnsi="仿宋_GB2312" w:cs="仿宋_GB2312"/>
          <w:szCs w:val="32"/>
        </w:rPr>
      </w:pPr>
      <w:r>
        <w:rPr>
          <w:rFonts w:hint="eastAsia" w:ascii="仿宋_GB2312" w:hAnsi="仿宋_GB2312" w:cs="仿宋_GB2312"/>
          <w:szCs w:val="32"/>
        </w:rPr>
        <w:t>3.使用效益</w:t>
      </w:r>
    </w:p>
    <w:p>
      <w:pPr>
        <w:spacing w:line="600" w:lineRule="exact"/>
        <w:ind w:firstLine="640" w:firstLineChars="200"/>
        <w:rPr>
          <w:rFonts w:ascii="仿宋_GB2312"/>
        </w:rPr>
      </w:pPr>
      <w:r>
        <w:rPr>
          <w:rFonts w:ascii="仿宋_GB2312"/>
        </w:rPr>
        <w:t>本项目于2019年，注册个人会员总数已达6223个，企业会员已达 3826个，发布信息总数已达 44046条。2019年平台新增企业会员177个</w:t>
      </w:r>
      <w:r>
        <w:rPr>
          <w:rFonts w:hint="eastAsia" w:ascii="仿宋_GB2312"/>
        </w:rPr>
        <w:t>，企业会员新增率为4</w:t>
      </w:r>
      <w:r>
        <w:rPr>
          <w:rFonts w:ascii="仿宋_GB2312"/>
        </w:rPr>
        <w:t>.9%</w:t>
      </w:r>
      <w:r>
        <w:rPr>
          <w:rFonts w:hint="eastAsia" w:ascii="仿宋_GB2312"/>
        </w:rPr>
        <w:t>；</w:t>
      </w:r>
      <w:r>
        <w:rPr>
          <w:rFonts w:ascii="仿宋_GB2312"/>
        </w:rPr>
        <w:t>新增个人会员348人,</w:t>
      </w:r>
      <w:r>
        <w:rPr>
          <w:rFonts w:hint="eastAsia" w:ascii="仿宋_GB2312"/>
        </w:rPr>
        <w:t>个人会员新增率为5</w:t>
      </w:r>
      <w:r>
        <w:rPr>
          <w:rFonts w:ascii="仿宋_GB2312"/>
        </w:rPr>
        <w:t>.6%</w:t>
      </w:r>
      <w:r>
        <w:rPr>
          <w:rFonts w:hint="eastAsia" w:ascii="仿宋_GB2312"/>
        </w:rPr>
        <w:t>；</w:t>
      </w:r>
      <w:r>
        <w:rPr>
          <w:rFonts w:ascii="仿宋_GB2312"/>
        </w:rPr>
        <w:t>新增发布信息1722条,其中新闻资讯类达1188条、产品信息类达 151条、车源货源信息类达383条</w:t>
      </w:r>
      <w:r>
        <w:rPr>
          <w:rFonts w:hint="eastAsia" w:ascii="仿宋_GB2312"/>
        </w:rPr>
        <w:t>。</w:t>
      </w:r>
    </w:p>
    <w:p>
      <w:pPr>
        <w:pStyle w:val="2"/>
        <w:spacing w:before="0" w:after="0" w:line="600" w:lineRule="auto"/>
        <w:rPr>
          <w:rFonts w:ascii="黑体" w:hAnsi="黑体" w:eastAsia="黑体"/>
          <w:sz w:val="32"/>
          <w:szCs w:val="32"/>
        </w:rPr>
      </w:pPr>
      <w:bookmarkStart w:id="41" w:name="_Toc56703402"/>
      <w:r>
        <w:rPr>
          <w:rFonts w:hint="eastAsia" w:ascii="黑体" w:hAnsi="黑体" w:eastAsia="黑体"/>
          <w:sz w:val="32"/>
          <w:szCs w:val="32"/>
        </w:rPr>
        <w:t>五、评价结论及存在问题</w:t>
      </w:r>
      <w:bookmarkEnd w:id="41"/>
    </w:p>
    <w:p>
      <w:pPr>
        <w:pStyle w:val="3"/>
        <w:spacing w:before="240" w:after="240" w:line="480" w:lineRule="auto"/>
        <w:ind w:left="640" w:leftChars="200"/>
        <w:rPr>
          <w:rFonts w:ascii="楷体_GB2312" w:eastAsia="楷体_GB2312"/>
        </w:rPr>
      </w:pPr>
      <w:bookmarkStart w:id="42" w:name="_Toc56703403"/>
      <w:r>
        <w:rPr>
          <w:rFonts w:hint="eastAsia" w:ascii="楷体_GB2312" w:eastAsia="楷体_GB2312"/>
        </w:rPr>
        <w:t>（一）评价结论</w:t>
      </w:r>
      <w:bookmarkEnd w:id="42"/>
    </w:p>
    <w:p>
      <w:pPr>
        <w:autoSpaceDE w:val="0"/>
        <w:autoSpaceDN w:val="0"/>
        <w:adjustRightInd w:val="0"/>
        <w:spacing w:line="600" w:lineRule="exact"/>
        <w:ind w:firstLine="640" w:firstLineChars="200"/>
        <w:rPr>
          <w:rFonts w:ascii="仿宋_GB2312" w:hAnsi="仿宋_GB2312" w:cs="仿宋_GB2312"/>
          <w:szCs w:val="32"/>
          <w:highlight w:val="yellow"/>
        </w:rPr>
      </w:pPr>
      <w:r>
        <w:rPr>
          <w:rFonts w:hint="eastAsia" w:ascii="仿宋_GB2312" w:hAnsi="仿宋_GB2312" w:cs="仿宋_GB2312"/>
          <w:color w:val="000000"/>
          <w:szCs w:val="32"/>
        </w:rPr>
        <w:t>按照绩效评价工作方案，评价机构根据项目实施管理及完成情况，对照本项目支出绩效评价指标评分标准，对指标逐项进行考察、对比、计算和分析，最终得出项目综合评</w:t>
      </w:r>
      <w:r>
        <w:rPr>
          <w:rFonts w:hint="eastAsia" w:ascii="仿宋_GB2312" w:hAnsi="仿宋_GB2312" w:cs="仿宋_GB2312"/>
          <w:szCs w:val="32"/>
        </w:rPr>
        <w:t>分为62.59分（总分为100分）。其中“项目决策”指标得分11分（满分20分）；“项目管理”指标得分14分（满分20分）；“项目绩效”指标得分37.59分（满分60分）。评分结果属于“合格”。</w:t>
      </w:r>
    </w:p>
    <w:p>
      <w:pPr>
        <w:pStyle w:val="22"/>
        <w:spacing w:line="600" w:lineRule="exact"/>
        <w:ind w:firstLine="640"/>
        <w:rPr>
          <w:rFonts w:ascii="仿宋_GB2312"/>
          <w:szCs w:val="32"/>
        </w:rPr>
      </w:pPr>
      <w:r>
        <w:rPr>
          <w:rFonts w:hint="eastAsia" w:ascii="仿宋_GB2312"/>
          <w:szCs w:val="32"/>
        </w:rPr>
        <w:t>附：评价等级</w:t>
      </w:r>
    </w:p>
    <w:p>
      <w:pPr>
        <w:pStyle w:val="22"/>
        <w:spacing w:line="600" w:lineRule="exact"/>
        <w:ind w:firstLine="640"/>
        <w:rPr>
          <w:rFonts w:ascii="Times New Roman" w:hAnsi="Times New Roman"/>
          <w:szCs w:val="32"/>
        </w:rPr>
      </w:pPr>
      <w:r>
        <w:rPr>
          <w:rFonts w:ascii="Times New Roman" w:hAnsi="Times New Roman"/>
          <w:szCs w:val="32"/>
        </w:rPr>
        <w:t>1.</w:t>
      </w:r>
      <w:r>
        <w:rPr>
          <w:rFonts w:ascii="Times New Roman" w:hAnsi="Times New Roman"/>
          <w:szCs w:val="32"/>
        </w:rPr>
        <w:tab/>
      </w:r>
      <w:r>
        <w:rPr>
          <w:rFonts w:ascii="Times New Roman" w:hAnsi="Times New Roman"/>
          <w:szCs w:val="32"/>
        </w:rPr>
        <w:t>综合得分 90 分（含）以上，绩效评级为“优”；</w:t>
      </w:r>
    </w:p>
    <w:p>
      <w:pPr>
        <w:pStyle w:val="22"/>
        <w:spacing w:line="600" w:lineRule="exact"/>
        <w:ind w:firstLine="640"/>
        <w:rPr>
          <w:rFonts w:ascii="Times New Roman" w:hAnsi="Times New Roman"/>
          <w:szCs w:val="32"/>
        </w:rPr>
      </w:pPr>
      <w:r>
        <w:rPr>
          <w:rFonts w:ascii="Times New Roman" w:hAnsi="Times New Roman"/>
          <w:szCs w:val="32"/>
        </w:rPr>
        <w:t>2.</w:t>
      </w:r>
      <w:r>
        <w:rPr>
          <w:rFonts w:ascii="Times New Roman" w:hAnsi="Times New Roman"/>
          <w:szCs w:val="32"/>
        </w:rPr>
        <w:tab/>
      </w:r>
      <w:r>
        <w:rPr>
          <w:rFonts w:ascii="Times New Roman" w:hAnsi="Times New Roman"/>
          <w:szCs w:val="32"/>
        </w:rPr>
        <w:t>综合得分 75 分（含）—90 分，绩效评级为“良”；</w:t>
      </w:r>
    </w:p>
    <w:p>
      <w:pPr>
        <w:pStyle w:val="22"/>
        <w:spacing w:line="600" w:lineRule="exact"/>
        <w:ind w:firstLine="640"/>
        <w:rPr>
          <w:rFonts w:ascii="Times New Roman" w:hAnsi="Times New Roman"/>
          <w:szCs w:val="32"/>
        </w:rPr>
      </w:pPr>
      <w:r>
        <w:rPr>
          <w:rFonts w:ascii="Times New Roman" w:hAnsi="Times New Roman"/>
          <w:szCs w:val="32"/>
        </w:rPr>
        <w:t>3.</w:t>
      </w:r>
      <w:r>
        <w:rPr>
          <w:rFonts w:ascii="Times New Roman" w:hAnsi="Times New Roman"/>
          <w:szCs w:val="32"/>
        </w:rPr>
        <w:tab/>
      </w:r>
      <w:r>
        <w:rPr>
          <w:rFonts w:ascii="Times New Roman" w:hAnsi="Times New Roman"/>
          <w:szCs w:val="32"/>
        </w:rPr>
        <w:t>综合得分 60 分（含）—75 分，绩效评级为“合格”；</w:t>
      </w:r>
    </w:p>
    <w:p>
      <w:pPr>
        <w:autoSpaceDE w:val="0"/>
        <w:autoSpaceDN w:val="0"/>
        <w:adjustRightInd w:val="0"/>
        <w:spacing w:line="600" w:lineRule="exact"/>
        <w:ind w:firstLine="640" w:firstLineChars="200"/>
        <w:rPr>
          <w:rFonts w:ascii="仿宋_GB2312" w:hAnsi="仿宋_GB2312" w:cs="仿宋_GB2312"/>
          <w:szCs w:val="32"/>
        </w:rPr>
      </w:pPr>
      <w:r>
        <w:rPr>
          <w:rFonts w:ascii="Times New Roman" w:hAnsi="Times New Roman"/>
          <w:szCs w:val="32"/>
        </w:rPr>
        <w:t>4.</w:t>
      </w:r>
      <w:r>
        <w:rPr>
          <w:rFonts w:ascii="Times New Roman" w:hAnsi="Times New Roman"/>
          <w:szCs w:val="32"/>
        </w:rPr>
        <w:tab/>
      </w:r>
      <w:r>
        <w:rPr>
          <w:rFonts w:ascii="Times New Roman" w:hAnsi="Times New Roman"/>
          <w:szCs w:val="32"/>
        </w:rPr>
        <w:t>综合得分 60 分以下，绩效评级为“不合</w:t>
      </w:r>
      <w:r>
        <w:rPr>
          <w:rFonts w:hint="eastAsia" w:ascii="仿宋_GB2312"/>
          <w:szCs w:val="32"/>
        </w:rPr>
        <w:t>格”。</w:t>
      </w:r>
    </w:p>
    <w:p>
      <w:pPr>
        <w:pStyle w:val="3"/>
        <w:spacing w:before="240" w:after="240" w:line="480" w:lineRule="auto"/>
        <w:ind w:left="640" w:leftChars="200"/>
        <w:rPr>
          <w:rFonts w:ascii="楷体_GB2312" w:eastAsia="楷体_GB2312"/>
        </w:rPr>
      </w:pPr>
      <w:bookmarkStart w:id="43" w:name="_Toc56703404"/>
      <w:r>
        <w:rPr>
          <w:rFonts w:hint="eastAsia" w:ascii="楷体_GB2312" w:eastAsia="楷体_GB2312"/>
        </w:rPr>
        <w:t>（二）存在的问题</w:t>
      </w:r>
      <w:bookmarkEnd w:id="43"/>
    </w:p>
    <w:p>
      <w:pPr>
        <w:pStyle w:val="4"/>
        <w:spacing w:before="120" w:after="120" w:line="480" w:lineRule="auto"/>
        <w:ind w:firstLine="640" w:firstLineChars="200"/>
        <w:rPr>
          <w:rFonts w:ascii="仿宋_GB2312" w:hAnsi="仿宋_GB2312" w:cs="仿宋_GB2312"/>
          <w:b w:val="0"/>
          <w:bCs w:val="0"/>
        </w:rPr>
      </w:pPr>
      <w:bookmarkStart w:id="44" w:name="_Toc56703405"/>
      <w:r>
        <w:rPr>
          <w:rFonts w:hint="eastAsia" w:ascii="仿宋_GB2312" w:hAnsi="仿宋_GB2312" w:cs="仿宋_GB2312"/>
          <w:b w:val="0"/>
          <w:bCs w:val="0"/>
        </w:rPr>
        <w:t>1.绩效目标的设定与达成方面存在的问题</w:t>
      </w:r>
      <w:bookmarkEnd w:id="44"/>
    </w:p>
    <w:p>
      <w:pPr>
        <w:autoSpaceDE w:val="0"/>
        <w:autoSpaceDN w:val="0"/>
        <w:adjustRightInd w:val="0"/>
        <w:spacing w:line="600" w:lineRule="exact"/>
        <w:ind w:firstLine="640" w:firstLineChars="200"/>
        <w:rPr>
          <w:rFonts w:ascii="仿宋_GB2312" w:hAnsi="仿宋_GB2312" w:cs="仿宋_GB2312"/>
          <w:color w:val="000000"/>
          <w:szCs w:val="32"/>
        </w:rPr>
      </w:pPr>
      <w:r>
        <w:rPr>
          <w:rFonts w:hint="eastAsia" w:ascii="仿宋_GB2312" w:hAnsi="仿宋_GB2312" w:cs="仿宋_GB2312"/>
          <w:color w:val="000000"/>
          <w:szCs w:val="32"/>
        </w:rPr>
        <w:t>（1）维护费项目没有立项和批复文件</w:t>
      </w:r>
    </w:p>
    <w:p>
      <w:pPr>
        <w:autoSpaceDE w:val="0"/>
        <w:autoSpaceDN w:val="0"/>
        <w:adjustRightInd w:val="0"/>
        <w:spacing w:line="600" w:lineRule="exact"/>
        <w:ind w:firstLine="640" w:firstLineChars="200"/>
        <w:rPr>
          <w:rFonts w:ascii="仿宋_GB2312" w:hAnsi="仿宋_GB2312" w:cs="仿宋_GB2312"/>
          <w:color w:val="000000"/>
          <w:szCs w:val="32"/>
        </w:rPr>
      </w:pPr>
      <w:r>
        <w:rPr>
          <w:rFonts w:hint="eastAsia" w:ascii="仿宋_GB2312" w:hAnsi="仿宋_GB2312" w:cs="仿宋_GB2312"/>
          <w:color w:val="000000"/>
          <w:szCs w:val="32"/>
        </w:rPr>
        <w:t>经与</w:t>
      </w:r>
      <w:commentRangeStart w:id="7"/>
      <w:r>
        <w:rPr>
          <w:rFonts w:hint="eastAsia" w:ascii="仿宋_GB2312" w:hAnsi="仿宋_GB2312" w:cs="仿宋_GB2312"/>
          <w:color w:val="000000"/>
          <w:szCs w:val="32"/>
        </w:rPr>
        <w:t>科创经发局</w:t>
      </w:r>
      <w:commentRangeEnd w:id="7"/>
      <w:r>
        <w:commentReference w:id="7"/>
      </w:r>
      <w:r>
        <w:rPr>
          <w:rFonts w:hint="eastAsia" w:ascii="仿宋_GB2312" w:hAnsi="仿宋_GB2312" w:cs="仿宋_GB2312"/>
          <w:color w:val="000000"/>
          <w:szCs w:val="32"/>
        </w:rPr>
        <w:t>相关负责人访谈了解，该项目无立项申请与批复文件。</w:t>
      </w:r>
    </w:p>
    <w:p>
      <w:pPr>
        <w:pStyle w:val="4"/>
        <w:spacing w:before="120" w:after="120" w:line="480" w:lineRule="auto"/>
        <w:ind w:firstLine="640" w:firstLineChars="200"/>
        <w:rPr>
          <w:rFonts w:ascii="仿宋_GB2312" w:hAnsi="仿宋_GB2312" w:cs="仿宋_GB2312"/>
          <w:b w:val="0"/>
          <w:bCs w:val="0"/>
        </w:rPr>
      </w:pPr>
      <w:bookmarkStart w:id="45" w:name="_Toc56703406"/>
      <w:r>
        <w:rPr>
          <w:rFonts w:hint="eastAsia" w:ascii="仿宋_GB2312" w:hAnsi="仿宋_GB2312" w:cs="仿宋_GB2312"/>
          <w:b w:val="0"/>
          <w:bCs w:val="0"/>
        </w:rPr>
        <w:t>2.财务管理方面存在的问题</w:t>
      </w:r>
      <w:bookmarkEnd w:id="45"/>
    </w:p>
    <w:p>
      <w:pPr>
        <w:autoSpaceDE w:val="0"/>
        <w:autoSpaceDN w:val="0"/>
        <w:adjustRightInd w:val="0"/>
        <w:spacing w:line="600" w:lineRule="exact"/>
        <w:ind w:firstLine="640" w:firstLineChars="200"/>
        <w:rPr>
          <w:rFonts w:ascii="仿宋_GB2312" w:hAnsi="仿宋_GB2312" w:cs="仿宋_GB2312"/>
          <w:color w:val="000000"/>
          <w:szCs w:val="32"/>
        </w:rPr>
      </w:pPr>
      <w:r>
        <w:rPr>
          <w:rFonts w:hint="eastAsia" w:ascii="仿宋_GB2312" w:hAnsi="仿宋_GB2312" w:cs="仿宋_GB2312"/>
          <w:color w:val="000000"/>
          <w:szCs w:val="32"/>
        </w:rPr>
        <w:t>（1）未进行专账核算</w:t>
      </w:r>
    </w:p>
    <w:p>
      <w:pPr>
        <w:autoSpaceDE w:val="0"/>
        <w:autoSpaceDN w:val="0"/>
        <w:adjustRightInd w:val="0"/>
        <w:spacing w:line="600" w:lineRule="exact"/>
        <w:ind w:firstLine="640" w:firstLineChars="200"/>
        <w:rPr>
          <w:rFonts w:ascii="仿宋_GB2312" w:hAnsi="仿宋_GB2312" w:cs="仿宋_GB2312"/>
          <w:color w:val="000000"/>
          <w:szCs w:val="32"/>
        </w:rPr>
      </w:pPr>
      <w:r>
        <w:rPr>
          <w:rFonts w:hint="eastAsia" w:ascii="仿宋_GB2312" w:hAnsi="仿宋_GB2312" w:cs="仿宋_GB2312"/>
          <w:color w:val="000000"/>
          <w:szCs w:val="32"/>
        </w:rPr>
        <w:t>经查阅“物联亿达信息维护项目经费”科目余额表以及项目支出科目明细账，发现项目支出明细账未按具体项目进行明细核算，不符合政府会计制度要求。</w:t>
      </w:r>
    </w:p>
    <w:p>
      <w:pPr>
        <w:pStyle w:val="4"/>
        <w:spacing w:before="120" w:after="120" w:line="480" w:lineRule="auto"/>
        <w:ind w:left="640" w:leftChars="200"/>
        <w:rPr>
          <w:rFonts w:ascii="仿宋_GB2312" w:hAnsi="仿宋_GB2312" w:cs="仿宋_GB2312"/>
          <w:b w:val="0"/>
          <w:bCs w:val="0"/>
          <w:color w:val="000000"/>
        </w:rPr>
      </w:pPr>
      <w:bookmarkStart w:id="46" w:name="_Toc56703407"/>
      <w:r>
        <w:rPr>
          <w:rFonts w:hint="eastAsia" w:ascii="仿宋_GB2312" w:hAnsi="仿宋_GB2312" w:cs="仿宋_GB2312"/>
          <w:b w:val="0"/>
          <w:bCs w:val="0"/>
          <w:color w:val="000000"/>
        </w:rPr>
        <w:t>3.项目执行过程存在的问题</w:t>
      </w:r>
      <w:bookmarkEnd w:id="46"/>
    </w:p>
    <w:p>
      <w:pPr>
        <w:autoSpaceDE w:val="0"/>
        <w:autoSpaceDN w:val="0"/>
        <w:adjustRightInd w:val="0"/>
        <w:spacing w:line="600" w:lineRule="exact"/>
        <w:ind w:firstLine="640" w:firstLineChars="200"/>
        <w:rPr>
          <w:rFonts w:ascii="仿宋_GB2312" w:hAnsi="仿宋_GB2312" w:cs="仿宋_GB2312"/>
          <w:szCs w:val="32"/>
        </w:rPr>
      </w:pPr>
      <w:r>
        <w:rPr>
          <w:rFonts w:hint="eastAsia" w:ascii="仿宋_GB2312" w:hAnsi="仿宋_GB2312" w:cs="仿宋_GB2312"/>
          <w:szCs w:val="32"/>
        </w:rPr>
        <w:t>（1）维护费发生变化，未签订变更协议</w:t>
      </w:r>
    </w:p>
    <w:p>
      <w:pPr>
        <w:autoSpaceDE w:val="0"/>
        <w:autoSpaceDN w:val="0"/>
        <w:adjustRightInd w:val="0"/>
        <w:spacing w:line="600" w:lineRule="exact"/>
        <w:ind w:firstLine="640" w:firstLineChars="200"/>
        <w:rPr>
          <w:rFonts w:ascii="仿宋_GB2312" w:hAnsi="仿宋_GB2312" w:cs="仿宋_GB2312"/>
          <w:color w:val="000000"/>
          <w:szCs w:val="32"/>
        </w:rPr>
      </w:pPr>
      <w:r>
        <w:rPr>
          <w:rFonts w:hint="eastAsia" w:ascii="仿宋_GB2312" w:hAnsi="仿宋_GB2312" w:cs="仿宋_GB2312"/>
          <w:szCs w:val="32"/>
        </w:rPr>
        <w:t>经抽查2019年支付物联亿达信息维护费40万元的会计凭证及附件资料，并与高新区科创经发局相关负责人访谈了解，2019年该项目未签订变更协议，存在一定的法律风险。根据2012年中国西部现代物流港管理委员会与四川物联亿达科技有限公司签订的《中国西部现代物流港管委会物流公共信息平台项目合作协议书》第4.1条关于项目集成服务费用内容约定：“物流公共信息平台整体验收后，进入正式的整体运行，整体运行第一年内的维护费用已含在此集成服务费用中，第二年开始，每年维护及运营费为人民币50万(大写:伍拾万元整)”。且</w:t>
      </w:r>
      <w:r>
        <w:rPr>
          <w:rFonts w:hint="eastAsia" w:ascii="仿宋_GB2312" w:hAnsi="仿宋_GB2312" w:cs="仿宋_GB2312"/>
          <w:color w:val="000000"/>
          <w:szCs w:val="32"/>
        </w:rPr>
        <w:t>第8条关于合同修改约定：“本合同的条款经双方多次交流协商议定，原则上不得再做修改。确有必要修改的，任何对合同条件的修改均须双方另行签订书面的修改书”。</w:t>
      </w:r>
    </w:p>
    <w:p>
      <w:pPr>
        <w:autoSpaceDE w:val="0"/>
        <w:autoSpaceDN w:val="0"/>
        <w:adjustRightInd w:val="0"/>
        <w:spacing w:line="600" w:lineRule="exact"/>
        <w:ind w:firstLine="640" w:firstLineChars="200"/>
        <w:rPr>
          <w:rFonts w:ascii="仿宋_GB2312" w:hAnsi="仿宋_GB2312" w:cs="仿宋_GB2312"/>
          <w:color w:val="000000"/>
          <w:szCs w:val="32"/>
        </w:rPr>
      </w:pPr>
      <w:r>
        <w:rPr>
          <w:rFonts w:hint="eastAsia" w:ascii="仿宋_GB2312" w:hAnsi="仿宋_GB2312" w:cs="仿宋_GB2312"/>
          <w:color w:val="000000"/>
          <w:szCs w:val="32"/>
        </w:rPr>
        <w:t>（2）项目实施缺乏政策依据</w:t>
      </w:r>
    </w:p>
    <w:p>
      <w:pPr>
        <w:autoSpaceDE w:val="0"/>
        <w:autoSpaceDN w:val="0"/>
        <w:adjustRightInd w:val="0"/>
        <w:spacing w:line="600" w:lineRule="exact"/>
        <w:ind w:firstLine="640" w:firstLineChars="200"/>
        <w:rPr>
          <w:rFonts w:ascii="仿宋_GB2312" w:hAnsi="仿宋_GB2312" w:cs="仿宋_GB2312"/>
          <w:color w:val="000000"/>
          <w:szCs w:val="32"/>
        </w:rPr>
      </w:pPr>
      <w:r>
        <w:rPr>
          <w:rFonts w:hint="eastAsia" w:ascii="仿宋_GB2312" w:hAnsi="仿宋_GB2312" w:cs="仿宋_GB2312"/>
          <w:color w:val="000000"/>
          <w:szCs w:val="32"/>
        </w:rPr>
        <w:t>经与</w:t>
      </w:r>
      <w:commentRangeStart w:id="8"/>
      <w:r>
        <w:rPr>
          <w:rFonts w:hint="eastAsia" w:ascii="仿宋_GB2312" w:hAnsi="仿宋_GB2312" w:cs="仿宋_GB2312"/>
          <w:color w:val="000000"/>
          <w:szCs w:val="32"/>
        </w:rPr>
        <w:t>科创经发局</w:t>
      </w:r>
      <w:commentRangeEnd w:id="8"/>
      <w:r>
        <w:commentReference w:id="8"/>
      </w:r>
      <w:r>
        <w:rPr>
          <w:rFonts w:hint="eastAsia" w:ascii="仿宋_GB2312" w:hAnsi="仿宋_GB2312" w:cs="仿宋_GB2312"/>
          <w:color w:val="000000"/>
          <w:szCs w:val="32"/>
        </w:rPr>
        <w:t>相关负责人访谈了解，该项目无政策依据文件。</w:t>
      </w:r>
    </w:p>
    <w:p>
      <w:pPr>
        <w:autoSpaceDE w:val="0"/>
        <w:autoSpaceDN w:val="0"/>
        <w:adjustRightInd w:val="0"/>
        <w:spacing w:line="600" w:lineRule="exact"/>
        <w:ind w:firstLine="640" w:firstLineChars="200"/>
        <w:rPr>
          <w:rFonts w:ascii="仿宋_GB2312" w:hAnsi="仿宋_GB2312" w:cs="仿宋_GB2312"/>
          <w:color w:val="000000"/>
          <w:szCs w:val="32"/>
        </w:rPr>
      </w:pPr>
      <w:r>
        <w:rPr>
          <w:rFonts w:hint="eastAsia" w:ascii="仿宋_GB2312" w:hAnsi="仿宋_GB2312" w:cs="仿宋_GB2312"/>
          <w:color w:val="000000"/>
          <w:szCs w:val="32"/>
        </w:rPr>
        <w:t>（3）未建立项目管理制度</w:t>
      </w:r>
    </w:p>
    <w:p>
      <w:pPr>
        <w:autoSpaceDE w:val="0"/>
        <w:autoSpaceDN w:val="0"/>
        <w:adjustRightInd w:val="0"/>
        <w:spacing w:line="600" w:lineRule="exact"/>
        <w:ind w:firstLine="640" w:firstLineChars="200"/>
        <w:rPr>
          <w:rFonts w:ascii="仿宋_GB2312" w:hAnsi="仿宋_GB2312" w:cs="仿宋_GB2312"/>
          <w:color w:val="000000"/>
          <w:szCs w:val="32"/>
        </w:rPr>
      </w:pPr>
      <w:r>
        <w:rPr>
          <w:rFonts w:hint="eastAsia" w:ascii="仿宋_GB2312" w:hAnsi="仿宋_GB2312" w:cs="仿宋_GB2312"/>
          <w:color w:val="000000"/>
          <w:szCs w:val="32"/>
        </w:rPr>
        <w:t>经与</w:t>
      </w:r>
      <w:commentRangeStart w:id="9"/>
      <w:r>
        <w:rPr>
          <w:rFonts w:hint="eastAsia" w:ascii="仿宋_GB2312" w:hAnsi="仿宋_GB2312" w:cs="仿宋_GB2312"/>
          <w:color w:val="000000"/>
          <w:szCs w:val="32"/>
        </w:rPr>
        <w:t>科创经发局</w:t>
      </w:r>
      <w:commentRangeEnd w:id="9"/>
      <w:r>
        <w:commentReference w:id="9"/>
      </w:r>
      <w:r>
        <w:rPr>
          <w:rFonts w:hint="eastAsia" w:ascii="仿宋_GB2312" w:hAnsi="仿宋_GB2312" w:cs="仿宋_GB2312"/>
          <w:color w:val="000000"/>
          <w:szCs w:val="32"/>
        </w:rPr>
        <w:t>相关负责人访谈了解，未建立该项目相关的管理制度，未对本项目执行进行过程管控。</w:t>
      </w:r>
    </w:p>
    <w:p>
      <w:pPr>
        <w:autoSpaceDE w:val="0"/>
        <w:autoSpaceDN w:val="0"/>
        <w:adjustRightInd w:val="0"/>
        <w:spacing w:line="600" w:lineRule="exact"/>
        <w:ind w:firstLine="640" w:firstLineChars="200"/>
        <w:rPr>
          <w:rFonts w:ascii="仿宋_GB2312" w:hAnsi="仿宋_GB2312" w:cs="仿宋_GB2312"/>
          <w:color w:val="000000"/>
          <w:szCs w:val="32"/>
        </w:rPr>
      </w:pPr>
      <w:r>
        <w:rPr>
          <w:rFonts w:hint="eastAsia" w:ascii="仿宋_GB2312" w:hAnsi="仿宋_GB2312" w:cs="仿宋_GB2312"/>
          <w:color w:val="000000"/>
          <w:szCs w:val="32"/>
        </w:rPr>
        <w:t>（4）公众对本项目的知晓度不高</w:t>
      </w:r>
      <w:bookmarkStart w:id="49" w:name="_GoBack"/>
      <w:bookmarkEnd w:id="49"/>
    </w:p>
    <w:p>
      <w:pPr>
        <w:autoSpaceDE w:val="0"/>
        <w:autoSpaceDN w:val="0"/>
        <w:adjustRightInd w:val="0"/>
        <w:spacing w:line="600" w:lineRule="exact"/>
        <w:ind w:firstLine="640" w:firstLineChars="200"/>
        <w:rPr>
          <w:rFonts w:ascii="仿宋_GB2312" w:hAnsi="仿宋_GB2312" w:cs="仿宋_GB2312"/>
          <w:color w:val="000000"/>
          <w:szCs w:val="32"/>
        </w:rPr>
      </w:pPr>
      <w:r>
        <w:rPr>
          <w:rFonts w:hint="eastAsia" w:ascii="仿宋_GB2312" w:hAnsi="仿宋_GB2312" w:cs="仿宋_GB2312"/>
          <w:color w:val="000000"/>
          <w:szCs w:val="32"/>
        </w:rPr>
        <w:t>经对远成物流园区的商家、司机等人员关于物流公共信息平台进行抽样问卷调查，共调查62人，其中知晓该平台的有17人，其余45人不知晓，知晓率仅为27.42%。</w:t>
      </w:r>
    </w:p>
    <w:p>
      <w:pPr>
        <w:pStyle w:val="2"/>
        <w:spacing w:before="0" w:after="0" w:line="600" w:lineRule="auto"/>
        <w:rPr>
          <w:rFonts w:ascii="黑体" w:hAnsi="黑体" w:eastAsia="黑体"/>
          <w:sz w:val="32"/>
          <w:szCs w:val="32"/>
        </w:rPr>
      </w:pPr>
      <w:bookmarkStart w:id="47" w:name="_Toc56703408"/>
      <w:r>
        <w:rPr>
          <w:rFonts w:hint="eastAsia" w:ascii="黑体" w:hAnsi="黑体" w:eastAsia="黑体"/>
          <w:sz w:val="32"/>
          <w:szCs w:val="32"/>
        </w:rPr>
        <w:t>六、相关建议</w:t>
      </w:r>
      <w:bookmarkEnd w:id="47"/>
    </w:p>
    <w:p>
      <w:pPr>
        <w:autoSpaceDE w:val="0"/>
        <w:autoSpaceDN w:val="0"/>
        <w:adjustRightInd w:val="0"/>
        <w:spacing w:line="600" w:lineRule="exact"/>
        <w:ind w:firstLine="640" w:firstLineChars="200"/>
        <w:rPr>
          <w:rFonts w:ascii="仿宋_GB2312" w:hAnsi="仿宋_GB2312" w:cs="仿宋_GB2312"/>
          <w:color w:val="000000"/>
          <w:szCs w:val="32"/>
        </w:rPr>
      </w:pPr>
      <w:r>
        <w:rPr>
          <w:rFonts w:hint="eastAsia" w:ascii="仿宋_GB2312" w:hAnsi="仿宋_GB2312" w:cs="仿宋_GB2312"/>
          <w:color w:val="000000"/>
          <w:szCs w:val="32"/>
        </w:rPr>
        <w:t>1. 根据中共中央国务院关于全面实施预算绩效管理的意见（中发〔2018〕34号）规定：各级财政部门要将绩效目标设置作为预算安排的前置条件，加强绩效目标审核，将绩效目标与预算同步批复下达。建议各单位申报预算时一并申报绩效目标，尽可能对指标进行量化。</w:t>
      </w:r>
    </w:p>
    <w:p>
      <w:pPr>
        <w:autoSpaceDE w:val="0"/>
        <w:autoSpaceDN w:val="0"/>
        <w:adjustRightInd w:val="0"/>
        <w:spacing w:line="600" w:lineRule="exact"/>
        <w:ind w:firstLine="640" w:firstLineChars="200"/>
        <w:rPr>
          <w:rFonts w:ascii="仿宋_GB2312" w:hAnsi="仿宋_GB2312" w:cs="仿宋_GB2312"/>
          <w:color w:val="000000"/>
          <w:szCs w:val="32"/>
        </w:rPr>
      </w:pPr>
      <w:r>
        <w:rPr>
          <w:rFonts w:hint="eastAsia" w:ascii="仿宋_GB2312" w:hAnsi="仿宋_GB2312" w:cs="仿宋_GB2312"/>
          <w:color w:val="000000"/>
          <w:szCs w:val="32"/>
        </w:rPr>
        <w:t>2.项目支出应严格执行政府会计制度，专账核算，专项管理，专款专用。</w:t>
      </w:r>
    </w:p>
    <w:p>
      <w:pPr>
        <w:autoSpaceDE w:val="0"/>
        <w:autoSpaceDN w:val="0"/>
        <w:adjustRightInd w:val="0"/>
        <w:spacing w:line="600" w:lineRule="exact"/>
        <w:ind w:firstLine="640" w:firstLineChars="200"/>
        <w:rPr>
          <w:rFonts w:ascii="仿宋_GB2312" w:hAnsi="仿宋_GB2312" w:cs="仿宋_GB2312"/>
          <w:color w:val="000000"/>
          <w:szCs w:val="32"/>
        </w:rPr>
      </w:pPr>
      <w:r>
        <w:rPr>
          <w:rFonts w:hint="eastAsia" w:ascii="仿宋_GB2312" w:hAnsi="仿宋_GB2312" w:cs="仿宋_GB2312"/>
          <w:color w:val="000000"/>
          <w:szCs w:val="32"/>
        </w:rPr>
        <w:t>3.根据《中华人民共和国民法通则》第85条规定:合同是当事人之间设立、变更、终止民事关系的协议。依法成立的合同，受法律保护。合同是一切经济业务的基础，未签订合同，将不受法律保护。建议发生经济活动时应先订立合同。</w:t>
      </w:r>
    </w:p>
    <w:p>
      <w:pPr>
        <w:pStyle w:val="2"/>
        <w:spacing w:before="0" w:after="0" w:line="600" w:lineRule="auto"/>
        <w:rPr>
          <w:rFonts w:ascii="黑体" w:hAnsi="黑体" w:eastAsia="黑体"/>
          <w:sz w:val="32"/>
          <w:szCs w:val="32"/>
        </w:rPr>
      </w:pPr>
      <w:bookmarkStart w:id="48" w:name="_Toc56703409"/>
      <w:r>
        <w:rPr>
          <w:rFonts w:hint="eastAsia" w:ascii="黑体" w:hAnsi="黑体" w:eastAsia="黑体"/>
          <w:sz w:val="32"/>
          <w:szCs w:val="32"/>
        </w:rPr>
        <w:t>七、附件</w:t>
      </w:r>
      <w:bookmarkEnd w:id="48"/>
    </w:p>
    <w:p>
      <w:pPr>
        <w:widowControl/>
        <w:spacing w:line="600" w:lineRule="exact"/>
        <w:jc w:val="left"/>
        <w:rPr>
          <w:rFonts w:ascii="仿宋_GB2312" w:hAnsi="仿宋_GB2312" w:cs="仿宋_GB2312"/>
          <w:szCs w:val="32"/>
        </w:rPr>
      </w:pPr>
      <w:r>
        <w:rPr>
          <w:rFonts w:hint="eastAsia" w:ascii="仿宋_GB2312" w:hAnsi="仿宋_GB2312" w:cs="仿宋_GB2312"/>
          <w:szCs w:val="32"/>
        </w:rPr>
        <w:t>附件1：2020年区级专项项目支出绩效评价指标体系评分表</w:t>
      </w:r>
    </w:p>
    <w:p>
      <w:pPr>
        <w:widowControl/>
        <w:spacing w:line="600" w:lineRule="exact"/>
        <w:jc w:val="left"/>
        <w:rPr>
          <w:rFonts w:ascii="仿宋_GB2312" w:hAnsi="仿宋_GB2312" w:cs="仿宋_GB2312"/>
          <w:szCs w:val="32"/>
        </w:rPr>
      </w:pPr>
      <w:r>
        <w:rPr>
          <w:rFonts w:hint="eastAsia" w:ascii="仿宋_GB2312" w:hAnsi="仿宋_GB2312" w:cs="仿宋_GB2312"/>
          <w:szCs w:val="32"/>
        </w:rPr>
        <w:t>附件2：承诺书</w:t>
      </w:r>
    </w:p>
    <w:p>
      <w:pPr>
        <w:widowControl/>
        <w:spacing w:line="600" w:lineRule="exact"/>
        <w:jc w:val="left"/>
        <w:rPr>
          <w:rFonts w:ascii="仿宋_GB2312" w:hAnsi="仿宋_GB2312" w:cs="仿宋_GB2312"/>
          <w:szCs w:val="32"/>
        </w:rPr>
      </w:pPr>
      <w:r>
        <w:rPr>
          <w:rFonts w:hint="eastAsia" w:ascii="仿宋_GB2312" w:hAnsi="仿宋_GB2312" w:cs="仿宋_GB2312"/>
          <w:szCs w:val="32"/>
        </w:rPr>
        <w:t>附件3：第三方绩效评价反馈</w:t>
      </w:r>
    </w:p>
    <w:p>
      <w:pPr>
        <w:widowControl/>
        <w:spacing w:line="600" w:lineRule="exact"/>
        <w:jc w:val="left"/>
        <w:rPr>
          <w:rFonts w:ascii="仿宋_GB2312" w:hAnsi="仿宋_GB2312" w:cs="仿宋_GB2312"/>
          <w:szCs w:val="32"/>
        </w:rPr>
      </w:pPr>
    </w:p>
    <w:p>
      <w:pPr>
        <w:widowControl/>
        <w:spacing w:line="600" w:lineRule="exact"/>
        <w:jc w:val="left"/>
        <w:rPr>
          <w:rFonts w:ascii="仿宋_GB2312" w:hAnsi="仿宋_GB2312" w:cs="仿宋_GB2312"/>
          <w:szCs w:val="32"/>
        </w:rPr>
      </w:pPr>
    </w:p>
    <w:p>
      <w:pPr>
        <w:widowControl/>
        <w:spacing w:line="600" w:lineRule="exact"/>
        <w:ind w:firstLine="320" w:firstLineChars="100"/>
        <w:jc w:val="center"/>
        <w:rPr>
          <w:rFonts w:ascii="仿宋_GB2312" w:hAnsi="仿宋_GB2312" w:cs="仿宋_GB2312"/>
          <w:szCs w:val="32"/>
        </w:rPr>
      </w:pPr>
      <w:r>
        <w:rPr>
          <w:rFonts w:hint="eastAsia" w:ascii="仿宋_GB2312" w:hAnsi="仿宋_GB2312" w:cs="仿宋_GB2312"/>
          <w:szCs w:val="32"/>
        </w:rPr>
        <w:t xml:space="preserve">            遂宁市备至实业有限公司</w:t>
      </w:r>
    </w:p>
    <w:p>
      <w:pPr>
        <w:widowControl/>
        <w:spacing w:line="600" w:lineRule="exact"/>
        <w:ind w:firstLine="320" w:firstLineChars="100"/>
        <w:jc w:val="center"/>
        <w:rPr>
          <w:rFonts w:ascii="仿宋_GB2312" w:hAnsi="仿宋_GB2312" w:cs="仿宋_GB2312"/>
          <w:szCs w:val="32"/>
        </w:rPr>
        <w:sectPr>
          <w:footerReference r:id="rId7" w:type="default"/>
          <w:pgSz w:w="11906" w:h="16838"/>
          <w:pgMar w:top="1440" w:right="1701" w:bottom="1440" w:left="1701" w:header="851" w:footer="851" w:gutter="0"/>
          <w:cols w:space="0" w:num="1"/>
          <w:docGrid w:type="lines" w:linePitch="436" w:charSpace="0"/>
        </w:sectPr>
      </w:pPr>
      <w:r>
        <w:rPr>
          <w:rFonts w:hint="eastAsia" w:ascii="仿宋_GB2312" w:hAnsi="仿宋_GB2312" w:cs="仿宋_GB2312"/>
          <w:szCs w:val="32"/>
        </w:rPr>
        <w:t xml:space="preserve">             2020年10月30日</w:t>
      </w:r>
      <w:r>
        <w:rPr>
          <w:rFonts w:hint="eastAsia" w:ascii="黑体" w:hAnsi="黑体" w:eastAsia="黑体"/>
          <w:szCs w:val="32"/>
        </w:rPr>
        <w:br w:type="page"/>
      </w:r>
    </w:p>
    <w:p>
      <w:pPr>
        <w:widowControl/>
        <w:textAlignment w:val="center"/>
        <w:rPr>
          <w:rFonts w:ascii="宋体" w:hAnsi="宋体" w:eastAsia="宋体" w:cs="宋体"/>
          <w:b/>
          <w:color w:val="000000"/>
          <w:kern w:val="0"/>
          <w:sz w:val="40"/>
          <w:szCs w:val="40"/>
          <w:lang w:bidi="ar"/>
        </w:rPr>
      </w:pPr>
      <w:r>
        <w:rPr>
          <w:rFonts w:hint="eastAsia" w:ascii="宋体" w:hAnsi="宋体" w:eastAsia="宋体" w:cs="宋体"/>
          <w:color w:val="000000"/>
          <w:kern w:val="0"/>
          <w:szCs w:val="32"/>
        </w:rPr>
        <w:t>附件1:2020年区级专项项目支出绩效评价指标体系（现场工作记录表）评分表</w:t>
      </w:r>
      <w:r>
        <w:rPr>
          <w:rFonts w:hint="eastAsia" w:ascii="宋体" w:hAnsi="宋体" w:eastAsia="宋体" w:cs="宋体"/>
          <w:color w:val="000000"/>
          <w:kern w:val="0"/>
          <w:szCs w:val="32"/>
        </w:rPr>
        <w:br w:type="textWrapping"/>
      </w:r>
    </w:p>
    <w:p>
      <w:pPr>
        <w:widowControl/>
        <w:jc w:val="center"/>
        <w:textAlignment w:val="center"/>
        <w:rPr>
          <w:rFonts w:ascii="宋体" w:hAnsi="宋体" w:eastAsia="宋体" w:cs="宋体"/>
          <w:b/>
          <w:color w:val="000000"/>
          <w:sz w:val="40"/>
          <w:szCs w:val="40"/>
        </w:rPr>
      </w:pPr>
      <w:r>
        <w:rPr>
          <w:rFonts w:hint="eastAsia" w:ascii="宋体" w:hAnsi="宋体" w:eastAsia="宋体" w:cs="宋体"/>
          <w:b/>
          <w:bCs/>
          <w:color w:val="000000"/>
          <w:kern w:val="0"/>
          <w:szCs w:val="32"/>
        </w:rPr>
        <w:t>2020年区级专项项目支出绩效评价指标体系（现场工作记录表）评分表</w:t>
      </w:r>
      <w:r>
        <w:rPr>
          <w:rFonts w:hint="eastAsia" w:ascii="宋体" w:hAnsi="宋体" w:eastAsia="宋体" w:cs="宋体"/>
          <w:b/>
          <w:bCs/>
          <w:color w:val="000000"/>
          <w:kern w:val="0"/>
          <w:szCs w:val="32"/>
        </w:rPr>
        <w:br w:type="textWrapping"/>
      </w:r>
      <w:r>
        <w:rPr>
          <w:rFonts w:hint="eastAsia" w:ascii="宋体" w:hAnsi="宋体" w:eastAsia="宋体" w:cs="宋体"/>
          <w:b/>
          <w:bCs/>
          <w:color w:val="000000"/>
          <w:kern w:val="0"/>
          <w:szCs w:val="32"/>
        </w:rPr>
        <w:t>（物联亿达信息维护项目经费）</w:t>
      </w:r>
    </w:p>
    <w:tbl>
      <w:tblPr>
        <w:tblStyle w:val="13"/>
        <w:tblW w:w="13966" w:type="dxa"/>
        <w:tblInd w:w="0" w:type="dxa"/>
        <w:tblLayout w:type="fixed"/>
        <w:tblCellMar>
          <w:top w:w="0" w:type="dxa"/>
          <w:left w:w="0" w:type="dxa"/>
          <w:bottom w:w="0" w:type="dxa"/>
          <w:right w:w="0" w:type="dxa"/>
        </w:tblCellMar>
      </w:tblPr>
      <w:tblGrid>
        <w:gridCol w:w="916"/>
        <w:gridCol w:w="860"/>
        <w:gridCol w:w="840"/>
        <w:gridCol w:w="498"/>
        <w:gridCol w:w="2977"/>
        <w:gridCol w:w="708"/>
        <w:gridCol w:w="2552"/>
        <w:gridCol w:w="567"/>
        <w:gridCol w:w="4048"/>
      </w:tblGrid>
      <w:tr>
        <w:tblPrEx>
          <w:tblCellMar>
            <w:top w:w="0" w:type="dxa"/>
            <w:left w:w="0" w:type="dxa"/>
            <w:bottom w:w="0" w:type="dxa"/>
            <w:right w:w="0" w:type="dxa"/>
          </w:tblCellMar>
        </w:tblPrEx>
        <w:trPr>
          <w:trHeight w:val="259" w:hRule="atLeast"/>
          <w:tblHeader/>
        </w:trPr>
        <w:tc>
          <w:tcPr>
            <w:tcW w:w="916"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一级指标</w:t>
            </w:r>
          </w:p>
        </w:tc>
        <w:tc>
          <w:tcPr>
            <w:tcW w:w="860"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二级指标</w:t>
            </w:r>
          </w:p>
        </w:tc>
        <w:tc>
          <w:tcPr>
            <w:tcW w:w="840"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三级指标</w:t>
            </w:r>
          </w:p>
        </w:tc>
        <w:tc>
          <w:tcPr>
            <w:tcW w:w="498"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分值</w:t>
            </w:r>
          </w:p>
        </w:tc>
        <w:tc>
          <w:tcPr>
            <w:tcW w:w="2977" w:type="dxa"/>
            <w:vMerge w:val="restart"/>
            <w:tcBorders>
              <w:top w:val="single" w:color="000000" w:sz="4" w:space="0"/>
              <w:left w:val="nil"/>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指标评价内容</w:t>
            </w:r>
          </w:p>
        </w:tc>
        <w:tc>
          <w:tcPr>
            <w:tcW w:w="708" w:type="dxa"/>
            <w:vMerge w:val="restart"/>
            <w:tcBorders>
              <w:top w:val="single" w:color="000000" w:sz="4" w:space="0"/>
              <w:left w:val="single" w:color="000000" w:sz="4" w:space="0"/>
              <w:bottom w:val="single" w:color="000000" w:sz="4" w:space="0"/>
              <w:right w:val="nil"/>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评价方法</w:t>
            </w:r>
          </w:p>
        </w:tc>
        <w:tc>
          <w:tcPr>
            <w:tcW w:w="2552"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计分标准</w:t>
            </w:r>
          </w:p>
        </w:tc>
        <w:tc>
          <w:tcPr>
            <w:tcW w:w="567"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评价得分</w:t>
            </w:r>
          </w:p>
        </w:tc>
        <w:tc>
          <w:tcPr>
            <w:tcW w:w="4048"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b/>
                <w:color w:val="000000"/>
                <w:sz w:val="18"/>
                <w:szCs w:val="18"/>
              </w:rPr>
            </w:pPr>
            <w:r>
              <w:rPr>
                <w:rFonts w:hint="eastAsia" w:ascii="宋体" w:hAnsi="宋体" w:eastAsia="宋体" w:cs="宋体"/>
                <w:b/>
                <w:color w:val="000000"/>
                <w:kern w:val="0"/>
                <w:sz w:val="18"/>
                <w:szCs w:val="18"/>
                <w:lang w:bidi="ar"/>
              </w:rPr>
              <w:t>评价依据</w:t>
            </w:r>
          </w:p>
        </w:tc>
      </w:tr>
      <w:tr>
        <w:tblPrEx>
          <w:tblCellMar>
            <w:top w:w="0" w:type="dxa"/>
            <w:left w:w="0" w:type="dxa"/>
            <w:bottom w:w="0" w:type="dxa"/>
            <w:right w:w="0" w:type="dxa"/>
          </w:tblCellMar>
        </w:tblPrEx>
        <w:trPr>
          <w:trHeight w:val="259" w:hRule="atLeast"/>
          <w:tblHeader/>
        </w:trPr>
        <w:tc>
          <w:tcPr>
            <w:tcW w:w="916"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860"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840"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498"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2977" w:type="dxa"/>
            <w:vMerge w:val="continue"/>
            <w:tcBorders>
              <w:top w:val="single" w:color="000000" w:sz="4" w:space="0"/>
              <w:left w:val="nil"/>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708" w:type="dxa"/>
            <w:vMerge w:val="continue"/>
            <w:tcBorders>
              <w:top w:val="single" w:color="000000" w:sz="4" w:space="0"/>
              <w:left w:val="single" w:color="000000" w:sz="4" w:space="0"/>
              <w:bottom w:val="single" w:color="000000" w:sz="4" w:space="0"/>
              <w:right w:val="nil"/>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2552"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567"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4048"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r>
      <w:tr>
        <w:tblPrEx>
          <w:tblCellMar>
            <w:top w:w="0" w:type="dxa"/>
            <w:left w:w="0" w:type="dxa"/>
            <w:bottom w:w="0" w:type="dxa"/>
            <w:right w:w="0" w:type="dxa"/>
          </w:tblCellMar>
        </w:tblPrEx>
        <w:trPr>
          <w:trHeight w:val="259" w:hRule="atLeast"/>
          <w:tblHeader/>
        </w:trPr>
        <w:tc>
          <w:tcPr>
            <w:tcW w:w="916"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860"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840"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498"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2977" w:type="dxa"/>
            <w:vMerge w:val="continue"/>
            <w:tcBorders>
              <w:top w:val="single" w:color="000000" w:sz="4" w:space="0"/>
              <w:left w:val="nil"/>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708" w:type="dxa"/>
            <w:vMerge w:val="continue"/>
            <w:tcBorders>
              <w:top w:val="single" w:color="000000" w:sz="4" w:space="0"/>
              <w:left w:val="single" w:color="000000" w:sz="4" w:space="0"/>
              <w:bottom w:val="single" w:color="000000" w:sz="4" w:space="0"/>
              <w:right w:val="nil"/>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2552"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567"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c>
          <w:tcPr>
            <w:tcW w:w="4048"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b/>
                <w:color w:val="000000"/>
                <w:sz w:val="16"/>
                <w:szCs w:val="16"/>
              </w:rPr>
            </w:pPr>
          </w:p>
        </w:tc>
      </w:tr>
      <w:tr>
        <w:tblPrEx>
          <w:tblCellMar>
            <w:top w:w="0" w:type="dxa"/>
            <w:left w:w="0" w:type="dxa"/>
            <w:bottom w:w="0" w:type="dxa"/>
            <w:right w:w="0" w:type="dxa"/>
          </w:tblCellMar>
        </w:tblPrEx>
        <w:trPr>
          <w:trHeight w:val="774" w:hRule="atLeast"/>
        </w:trPr>
        <w:tc>
          <w:tcPr>
            <w:tcW w:w="916"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项目决策（20分）</w:t>
            </w:r>
          </w:p>
        </w:tc>
        <w:tc>
          <w:tcPr>
            <w:tcW w:w="860"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科学决策（12分）</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必要性（政策依据)</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6</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tabs>
                <w:tab w:val="left" w:pos="2240"/>
              </w:tabs>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rPr>
              <w:t>项目符合省政府、市政府、遂宁高新区决策部署；符合当前经济社会发展需要，政策和实际需求的吻合程度分析</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分级评分法</w:t>
            </w:r>
          </w:p>
        </w:tc>
        <w:tc>
          <w:tcPr>
            <w:tcW w:w="255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项目符合省政府、市政府、遂宁高新区决策部署得3分；符合当前经济社会发展需要，政策和实际需求的吻合程度分析得3分</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3</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本项目实施缺乏政策依件，此项得0分；项目符合当前经济社会发展需要，此项得3分。</w:t>
            </w:r>
          </w:p>
        </w:tc>
      </w:tr>
      <w:tr>
        <w:tblPrEx>
          <w:tblCellMar>
            <w:top w:w="0" w:type="dxa"/>
            <w:left w:w="0" w:type="dxa"/>
            <w:bottom w:w="0" w:type="dxa"/>
            <w:right w:w="0" w:type="dxa"/>
          </w:tblCellMar>
        </w:tblPrEx>
        <w:trPr>
          <w:trHeight w:val="502" w:hRule="atLeast"/>
        </w:trPr>
        <w:tc>
          <w:tcPr>
            <w:tcW w:w="916"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60"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程序严密</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6</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项目设立是否经过适当的审批，有无未经审批直接实施的情况</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是否评分法</w:t>
            </w:r>
          </w:p>
        </w:tc>
        <w:tc>
          <w:tcPr>
            <w:tcW w:w="2552" w:type="dxa"/>
            <w:tcBorders>
              <w:top w:val="single" w:color="000000" w:sz="4" w:space="0"/>
              <w:left w:val="single" w:color="000000" w:sz="4" w:space="0"/>
              <w:bottom w:val="single" w:color="000000" w:sz="4" w:space="0"/>
              <w:right w:val="nil"/>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未经审批不得分</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0</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Style w:val="26"/>
                <w:rFonts w:hint="default"/>
                <w:sz w:val="18"/>
                <w:szCs w:val="18"/>
                <w:lang w:bidi="ar"/>
              </w:rPr>
              <w:t>本项目没</w:t>
            </w:r>
            <w:r>
              <w:rPr>
                <w:rStyle w:val="27"/>
                <w:rFonts w:hint="default"/>
                <w:sz w:val="18"/>
                <w:szCs w:val="18"/>
                <w:lang w:bidi="ar"/>
              </w:rPr>
              <w:t>有立项和批复，此项不得分。</w:t>
            </w:r>
          </w:p>
        </w:tc>
      </w:tr>
      <w:tr>
        <w:tblPrEx>
          <w:tblCellMar>
            <w:top w:w="0" w:type="dxa"/>
            <w:left w:w="0" w:type="dxa"/>
            <w:bottom w:w="0" w:type="dxa"/>
            <w:right w:w="0" w:type="dxa"/>
          </w:tblCellMar>
        </w:tblPrEx>
        <w:trPr>
          <w:trHeight w:val="604" w:hRule="atLeast"/>
        </w:trPr>
        <w:tc>
          <w:tcPr>
            <w:tcW w:w="916"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60"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 xml:space="preserve">绩效目标（8分）   </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明确性</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4</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项目预期提供的产品、服务、效益或其他目标明确细化，可衡量</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缺（错）项扣分法</w:t>
            </w:r>
          </w:p>
        </w:tc>
        <w:tc>
          <w:tcPr>
            <w:tcW w:w="255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绩效目标编制不明确和量化的发现一个扣0.5分，直至扣完</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4</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本项目编制的绩效目标明确可量化，此项得4分。</w:t>
            </w:r>
          </w:p>
        </w:tc>
      </w:tr>
      <w:tr>
        <w:tblPrEx>
          <w:tblCellMar>
            <w:top w:w="0" w:type="dxa"/>
            <w:left w:w="0" w:type="dxa"/>
            <w:bottom w:w="0" w:type="dxa"/>
            <w:right w:w="0" w:type="dxa"/>
          </w:tblCellMar>
        </w:tblPrEx>
        <w:trPr>
          <w:trHeight w:val="724" w:hRule="atLeast"/>
        </w:trPr>
        <w:tc>
          <w:tcPr>
            <w:tcW w:w="916"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60"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合理性</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4</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绩效目标设定符合实际需求，合理可行。是否符合国家法律法规、国民经济和社会发展总体规划；是否符合项目的中长期实施规划</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缺（错）项扣分法</w:t>
            </w:r>
          </w:p>
        </w:tc>
        <w:tc>
          <w:tcPr>
            <w:tcW w:w="255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符合省政府、市政府、遂宁高新区总体规划得2分；符合项目的中长期实施规划得2分。</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4</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本项目绩效目标合理可行，此项得4分。</w:t>
            </w:r>
          </w:p>
        </w:tc>
      </w:tr>
      <w:tr>
        <w:tblPrEx>
          <w:tblCellMar>
            <w:top w:w="0" w:type="dxa"/>
            <w:left w:w="0" w:type="dxa"/>
            <w:bottom w:w="0" w:type="dxa"/>
            <w:right w:w="0" w:type="dxa"/>
          </w:tblCellMar>
        </w:tblPrEx>
        <w:trPr>
          <w:trHeight w:val="562" w:hRule="atLeast"/>
        </w:trPr>
        <w:tc>
          <w:tcPr>
            <w:tcW w:w="916" w:type="dxa"/>
            <w:vMerge w:val="restart"/>
            <w:tcBorders>
              <w:top w:val="nil"/>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项目管理（20分）</w:t>
            </w:r>
          </w:p>
        </w:tc>
        <w:tc>
          <w:tcPr>
            <w:tcW w:w="860" w:type="dxa"/>
            <w:vMerge w:val="restart"/>
            <w:tcBorders>
              <w:top w:val="nil"/>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资金管理（9分）</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财务管理制度健全性</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3</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资金管理办法、报账审批制度等</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缺（错）项扣分法</w:t>
            </w:r>
          </w:p>
        </w:tc>
        <w:tc>
          <w:tcPr>
            <w:tcW w:w="255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财务制度健全的得3分，较健全的得2分，不健全的得0分</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3</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本项目的资金使用按管委会制定的《机关财务管理制度》执行；此项得3分。</w:t>
            </w:r>
          </w:p>
        </w:tc>
      </w:tr>
      <w:tr>
        <w:tblPrEx>
          <w:tblCellMar>
            <w:top w:w="0" w:type="dxa"/>
            <w:left w:w="0" w:type="dxa"/>
            <w:bottom w:w="0" w:type="dxa"/>
            <w:right w:w="0" w:type="dxa"/>
          </w:tblCellMar>
        </w:tblPrEx>
        <w:trPr>
          <w:trHeight w:val="526" w:hRule="atLeast"/>
        </w:trPr>
        <w:tc>
          <w:tcPr>
            <w:tcW w:w="916" w:type="dxa"/>
            <w:vMerge w:val="continue"/>
            <w:tcBorders>
              <w:top w:val="nil"/>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60" w:type="dxa"/>
            <w:vMerge w:val="continue"/>
            <w:tcBorders>
              <w:top w:val="nil"/>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资金使用及时性</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2</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资金支付是否及时</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是否评分法</w:t>
            </w:r>
          </w:p>
        </w:tc>
        <w:tc>
          <w:tcPr>
            <w:tcW w:w="255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资金支付及时2分；不及时得0分。</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2</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本项目维护费于2019年12月完成支付，此项得2分。</w:t>
            </w:r>
          </w:p>
        </w:tc>
      </w:tr>
      <w:tr>
        <w:tblPrEx>
          <w:tblCellMar>
            <w:top w:w="0" w:type="dxa"/>
            <w:left w:w="0" w:type="dxa"/>
            <w:bottom w:w="0" w:type="dxa"/>
            <w:right w:w="0" w:type="dxa"/>
          </w:tblCellMar>
        </w:tblPrEx>
        <w:trPr>
          <w:trHeight w:val="1064" w:hRule="atLeast"/>
        </w:trPr>
        <w:tc>
          <w:tcPr>
            <w:tcW w:w="916" w:type="dxa"/>
            <w:vMerge w:val="continue"/>
            <w:tcBorders>
              <w:top w:val="nil"/>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60" w:type="dxa"/>
            <w:vMerge w:val="continue"/>
            <w:tcBorders>
              <w:top w:val="nil"/>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资金使用合规性</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4</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资金使用规范，附件支撑资料是否齐全</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缺（错）项扣分法</w:t>
            </w:r>
          </w:p>
        </w:tc>
        <w:tc>
          <w:tcPr>
            <w:tcW w:w="255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资金使用不规范的，发现一处扣1分，直至扣完</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3</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after="160"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根据2012年6月8日中国西部现代物流港管理委员会与四川物联亿达科技有限公司签订的《中国西部现代物流港管委会物流公共信息平台项目合作协议书》，维护费金额发生变化，未签订变更协议，扣1分。此项得3分。</w:t>
            </w:r>
          </w:p>
        </w:tc>
      </w:tr>
      <w:tr>
        <w:tblPrEx>
          <w:tblCellMar>
            <w:top w:w="0" w:type="dxa"/>
            <w:left w:w="0" w:type="dxa"/>
            <w:bottom w:w="0" w:type="dxa"/>
            <w:right w:w="0" w:type="dxa"/>
          </w:tblCellMar>
        </w:tblPrEx>
        <w:trPr>
          <w:trHeight w:val="672" w:hRule="atLeast"/>
        </w:trPr>
        <w:tc>
          <w:tcPr>
            <w:tcW w:w="916" w:type="dxa"/>
            <w:vMerge w:val="continue"/>
            <w:tcBorders>
              <w:top w:val="nil"/>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60"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项目执行（11分）</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项目管理制度健全性</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5</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管理制度健全，管理过程科学规范，项目执行过程是否有章可循，指导项目规范运行</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分级评分法</w:t>
            </w:r>
          </w:p>
        </w:tc>
        <w:tc>
          <w:tcPr>
            <w:tcW w:w="255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管理制度健全得2分，管理过程科学规范得2分，项目执行过程有章可循得1分</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0</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该项目未设立项目管理制度。此项不得分。</w:t>
            </w:r>
          </w:p>
        </w:tc>
      </w:tr>
      <w:tr>
        <w:tblPrEx>
          <w:tblCellMar>
            <w:top w:w="0" w:type="dxa"/>
            <w:left w:w="0" w:type="dxa"/>
            <w:bottom w:w="0" w:type="dxa"/>
            <w:right w:w="0" w:type="dxa"/>
          </w:tblCellMar>
        </w:tblPrEx>
        <w:trPr>
          <w:trHeight w:val="712" w:hRule="atLeast"/>
        </w:trPr>
        <w:tc>
          <w:tcPr>
            <w:tcW w:w="916" w:type="dxa"/>
            <w:vMerge w:val="continue"/>
            <w:tcBorders>
              <w:top w:val="nil"/>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60"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项目执行合理性</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6</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项目执行过程中是否存在虚假申报信息，是否存在适用标准错误的情形</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缺（错）项扣分法</w:t>
            </w:r>
          </w:p>
        </w:tc>
        <w:tc>
          <w:tcPr>
            <w:tcW w:w="255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存在虚假申报和错误的，发现一处扣0.5分，直至扣完</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6</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项目执行过程未发现虚假申报信息与使用标准错误的情况，此项得6分。</w:t>
            </w:r>
          </w:p>
        </w:tc>
      </w:tr>
      <w:tr>
        <w:tblPrEx>
          <w:tblCellMar>
            <w:top w:w="0" w:type="dxa"/>
            <w:left w:w="0" w:type="dxa"/>
            <w:bottom w:w="0" w:type="dxa"/>
            <w:right w:w="0" w:type="dxa"/>
          </w:tblCellMar>
        </w:tblPrEx>
        <w:trPr>
          <w:trHeight w:val="634" w:hRule="atLeast"/>
        </w:trPr>
        <w:tc>
          <w:tcPr>
            <w:tcW w:w="916"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项目绩效（特性指标60分）</w:t>
            </w:r>
          </w:p>
        </w:tc>
        <w:tc>
          <w:tcPr>
            <w:tcW w:w="860" w:type="dxa"/>
            <w:vMerge w:val="restart"/>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项目完成情况（15分）</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完成数量</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5</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平台维护工作数量完成情况</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是否评分法</w:t>
            </w:r>
          </w:p>
        </w:tc>
        <w:tc>
          <w:tcPr>
            <w:tcW w:w="255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是否按计划完成平台维护工作，未完成的扣1分，直至扣完</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4</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本项目的企业新增会员数未达到绩效指标值，实际新增企业会员数177家，绩效指标为200家，此处扣1分。此项目得4分。</w:t>
            </w:r>
          </w:p>
        </w:tc>
      </w:tr>
      <w:tr>
        <w:tblPrEx>
          <w:tblCellMar>
            <w:top w:w="0" w:type="dxa"/>
            <w:left w:w="0" w:type="dxa"/>
            <w:bottom w:w="0" w:type="dxa"/>
            <w:right w:w="0" w:type="dxa"/>
          </w:tblCellMar>
        </w:tblPrEx>
        <w:trPr>
          <w:trHeight w:val="604" w:hRule="atLeast"/>
        </w:trPr>
        <w:tc>
          <w:tcPr>
            <w:tcW w:w="916"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60"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完成质量</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5</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平台维护工作的质量高低情况</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缺（错）项扣分法</w:t>
            </w:r>
          </w:p>
        </w:tc>
        <w:tc>
          <w:tcPr>
            <w:tcW w:w="255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完成质量高，不扣分；质量有问题的，发现一处扣1分</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5</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本项目保障了平台的正常运行。此项得5分。</w:t>
            </w:r>
          </w:p>
        </w:tc>
      </w:tr>
      <w:tr>
        <w:tblPrEx>
          <w:tblCellMar>
            <w:top w:w="0" w:type="dxa"/>
            <w:left w:w="0" w:type="dxa"/>
            <w:bottom w:w="0" w:type="dxa"/>
            <w:right w:w="0" w:type="dxa"/>
          </w:tblCellMar>
        </w:tblPrEx>
        <w:trPr>
          <w:trHeight w:val="544" w:hRule="atLeast"/>
        </w:trPr>
        <w:tc>
          <w:tcPr>
            <w:tcW w:w="916"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60"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完成时效</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5</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是否在合同约定时间内完成维护工作</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是否评分法</w:t>
            </w:r>
          </w:p>
        </w:tc>
        <w:tc>
          <w:tcPr>
            <w:tcW w:w="2552"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是否在规定时间内完成工作，按时完成的5分，未按时完成不得分</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5</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本项目维护至2019年12月31日。此项得5分。</w:t>
            </w:r>
          </w:p>
        </w:tc>
      </w:tr>
      <w:tr>
        <w:tblPrEx>
          <w:tblCellMar>
            <w:top w:w="0" w:type="dxa"/>
            <w:left w:w="0" w:type="dxa"/>
            <w:bottom w:w="0" w:type="dxa"/>
            <w:right w:w="0" w:type="dxa"/>
          </w:tblCellMar>
        </w:tblPrEx>
        <w:trPr>
          <w:trHeight w:val="722" w:hRule="atLeast"/>
        </w:trPr>
        <w:tc>
          <w:tcPr>
            <w:tcW w:w="916"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60" w:type="dxa"/>
            <w:vMerge w:val="restart"/>
            <w:tcBorders>
              <w:top w:val="nil"/>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项目效益（45分）</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公众知晓度</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15</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项目成果在群众中的知晓度</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比率分值法</w:t>
            </w:r>
          </w:p>
        </w:tc>
        <w:tc>
          <w:tcPr>
            <w:tcW w:w="2552" w:type="dxa"/>
            <w:tcBorders>
              <w:top w:val="single" w:color="000000" w:sz="4" w:space="0"/>
              <w:left w:val="single" w:color="000000" w:sz="4" w:space="0"/>
              <w:bottom w:val="single" w:color="000000" w:sz="4" w:space="0"/>
              <w:right w:val="nil"/>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 xml:space="preserve">按群众知晓率计算得分，指标得分=实际调研知晓人数/实际调研总人数×100%*指标分值  </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4.11 </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经对远成物流园区的商家、司机等人员关于物流公共信息平台进行抽样问卷调查，共调查62人，其中了解该平台的有17人，其余45人不了解，知晓率仅为27.42%，此项得分4.11分。</w:t>
            </w:r>
          </w:p>
        </w:tc>
      </w:tr>
      <w:tr>
        <w:tblPrEx>
          <w:tblCellMar>
            <w:top w:w="0" w:type="dxa"/>
            <w:left w:w="0" w:type="dxa"/>
            <w:bottom w:w="0" w:type="dxa"/>
            <w:right w:w="0" w:type="dxa"/>
          </w:tblCellMar>
        </w:tblPrEx>
        <w:trPr>
          <w:trHeight w:val="742" w:hRule="atLeast"/>
        </w:trPr>
        <w:tc>
          <w:tcPr>
            <w:tcW w:w="916"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60" w:type="dxa"/>
            <w:vMerge w:val="continue"/>
            <w:tcBorders>
              <w:top w:val="nil"/>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社会效益</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10</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项目成果对社会发展带来的效益程度</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比率分值法</w:t>
            </w:r>
          </w:p>
        </w:tc>
        <w:tc>
          <w:tcPr>
            <w:tcW w:w="2552" w:type="dxa"/>
            <w:tcBorders>
              <w:top w:val="single" w:color="000000" w:sz="4" w:space="0"/>
              <w:left w:val="single" w:color="000000" w:sz="4" w:space="0"/>
              <w:bottom w:val="single" w:color="000000" w:sz="4" w:space="0"/>
              <w:right w:val="nil"/>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项目成果是否得到相应的应用，对社会发展是否存在有利影响，有以上效果得10分，没有则不得分</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10</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根据问卷调查中关于“物流信息平台的建设带来了哪些好处？”，回答的24人中有23人都认为有好处的。此项得10分。</w:t>
            </w:r>
          </w:p>
        </w:tc>
      </w:tr>
      <w:tr>
        <w:tblPrEx>
          <w:tblCellMar>
            <w:top w:w="0" w:type="dxa"/>
            <w:left w:w="0" w:type="dxa"/>
            <w:bottom w:w="0" w:type="dxa"/>
            <w:right w:w="0" w:type="dxa"/>
          </w:tblCellMar>
        </w:tblPrEx>
        <w:trPr>
          <w:trHeight w:val="882" w:hRule="atLeast"/>
        </w:trPr>
        <w:tc>
          <w:tcPr>
            <w:tcW w:w="916"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60" w:type="dxa"/>
            <w:vMerge w:val="continue"/>
            <w:tcBorders>
              <w:top w:val="nil"/>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 xml:space="preserve">服务对象满意度    </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10</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满意率反映服务对象或项目受益人对该项目使用的满意度。重点考核满意率等指标</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比率分值法</w:t>
            </w:r>
          </w:p>
        </w:tc>
        <w:tc>
          <w:tcPr>
            <w:tcW w:w="2552" w:type="dxa"/>
            <w:tcBorders>
              <w:top w:val="single" w:color="000000" w:sz="4" w:space="0"/>
              <w:left w:val="single" w:color="000000" w:sz="4" w:space="0"/>
              <w:bottom w:val="single" w:color="000000" w:sz="4" w:space="0"/>
              <w:right w:val="nil"/>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按服务满意率计算得分，指标得分=(选择“满意”人数*10+选择“一般”人数)/调查总人数</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 xml:space="preserve">2.48 </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根据“物联亿达信息维护项目经费满意度问卷调查”该项目问卷调查总人数为62人，实际知晓人数为17人，其中9人对该平台服务选择“满意”,8人选择“一般”。该平台服务满意度得分=（9*10+8*8）/62=2.48，此项得分2.48分。</w:t>
            </w:r>
          </w:p>
        </w:tc>
      </w:tr>
      <w:tr>
        <w:tblPrEx>
          <w:tblCellMar>
            <w:top w:w="0" w:type="dxa"/>
            <w:left w:w="0" w:type="dxa"/>
            <w:bottom w:w="0" w:type="dxa"/>
            <w:right w:w="0" w:type="dxa"/>
          </w:tblCellMar>
        </w:tblPrEx>
        <w:trPr>
          <w:trHeight w:val="952" w:hRule="atLeast"/>
        </w:trPr>
        <w:tc>
          <w:tcPr>
            <w:tcW w:w="916" w:type="dxa"/>
            <w:vMerge w:val="continue"/>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60" w:type="dxa"/>
            <w:vMerge w:val="continue"/>
            <w:tcBorders>
              <w:top w:val="nil"/>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rPr>
                <w:rFonts w:ascii="宋体" w:hAnsi="宋体" w:eastAsia="宋体" w:cs="宋体"/>
                <w:color w:val="000000"/>
                <w:sz w:val="15"/>
                <w:szCs w:val="15"/>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可持续效益</w:t>
            </w:r>
          </w:p>
        </w:tc>
        <w:tc>
          <w:tcPr>
            <w:tcW w:w="49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10</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维护项目成果能否给该平台带来持续性的关注度，带来更多的会员</w:t>
            </w:r>
          </w:p>
        </w:tc>
        <w:tc>
          <w:tcPr>
            <w:tcW w:w="70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比率分值法</w:t>
            </w:r>
          </w:p>
        </w:tc>
        <w:tc>
          <w:tcPr>
            <w:tcW w:w="2552" w:type="dxa"/>
            <w:tcBorders>
              <w:top w:val="single" w:color="000000" w:sz="4" w:space="0"/>
              <w:left w:val="single" w:color="000000" w:sz="4" w:space="0"/>
              <w:bottom w:val="single" w:color="000000" w:sz="4" w:space="0"/>
              <w:right w:val="nil"/>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5"/>
                <w:szCs w:val="15"/>
              </w:rPr>
            </w:pPr>
            <w:r>
              <w:rPr>
                <w:rFonts w:hint="eastAsia" w:ascii="宋体" w:hAnsi="宋体" w:eastAsia="宋体" w:cs="宋体"/>
                <w:color w:val="000000"/>
                <w:kern w:val="0"/>
                <w:sz w:val="15"/>
                <w:szCs w:val="15"/>
                <w:lang w:bidi="ar"/>
              </w:rPr>
              <w:t>会员增长率=本年增长人数/去年会员人数*100%。在10%以上得10分，5%-10%得7分，2%-5%得5分，2%以下不得分。</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7</w:t>
            </w:r>
          </w:p>
        </w:tc>
        <w:tc>
          <w:tcPr>
            <w:tcW w:w="4048"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left"/>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lang w:bidi="ar"/>
              </w:rPr>
              <w:t>本项目2019年新增会员525个（企业会员177个，个人会员348个），上年会员总数9524个（企业会员3649个，个人会员5875个），新会员率5.5%，在5-10%之间，此项得7分。</w:t>
            </w:r>
          </w:p>
        </w:tc>
      </w:tr>
      <w:tr>
        <w:tblPrEx>
          <w:tblCellMar>
            <w:top w:w="0" w:type="dxa"/>
            <w:left w:w="0" w:type="dxa"/>
            <w:bottom w:w="0" w:type="dxa"/>
            <w:right w:w="0" w:type="dxa"/>
          </w:tblCellMar>
        </w:tblPrEx>
        <w:trPr>
          <w:trHeight w:val="560" w:hRule="atLeast"/>
        </w:trPr>
        <w:tc>
          <w:tcPr>
            <w:tcW w:w="9351" w:type="dxa"/>
            <w:gridSpan w:val="7"/>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widowControl/>
              <w:spacing w:line="200" w:lineRule="exact"/>
              <w:jc w:val="center"/>
              <w:textAlignment w:val="center"/>
              <w:rPr>
                <w:rFonts w:ascii="宋体" w:hAnsi="宋体" w:eastAsia="宋体" w:cs="宋体"/>
                <w:color w:val="000000"/>
                <w:sz w:val="16"/>
                <w:szCs w:val="16"/>
              </w:rPr>
            </w:pPr>
            <w:r>
              <w:rPr>
                <w:rFonts w:hint="eastAsia" w:ascii="宋体" w:hAnsi="宋体" w:eastAsia="宋体" w:cs="宋体"/>
                <w:color w:val="000000"/>
                <w:kern w:val="0"/>
                <w:sz w:val="22"/>
                <w:szCs w:val="22"/>
                <w:lang w:bidi="ar"/>
              </w:rPr>
              <w:t>总体得分</w:t>
            </w:r>
          </w:p>
        </w:tc>
        <w:tc>
          <w:tcPr>
            <w:tcW w:w="56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spacing w:line="200" w:lineRule="exact"/>
              <w:jc w:val="right"/>
              <w:textAlignment w:val="center"/>
              <w:rPr>
                <w:rFonts w:ascii="宋体" w:hAnsi="宋体" w:eastAsia="宋体" w:cs="宋体"/>
                <w:color w:val="000000"/>
                <w:sz w:val="16"/>
                <w:szCs w:val="16"/>
              </w:rPr>
            </w:pPr>
            <w:r>
              <w:rPr>
                <w:rFonts w:hint="eastAsia" w:ascii="宋体" w:hAnsi="宋体" w:eastAsia="宋体" w:cs="宋体"/>
                <w:color w:val="000000"/>
                <w:kern w:val="0"/>
                <w:sz w:val="20"/>
                <w:szCs w:val="20"/>
                <w:lang w:bidi="ar"/>
              </w:rPr>
              <w:t>62.59</w:t>
            </w:r>
            <w:r>
              <w:rPr>
                <w:rFonts w:hint="eastAsia" w:ascii="宋体" w:hAnsi="宋体" w:eastAsia="宋体" w:cs="宋体"/>
                <w:color w:val="000000"/>
                <w:kern w:val="0"/>
                <w:sz w:val="16"/>
                <w:szCs w:val="16"/>
                <w:lang w:bidi="ar"/>
              </w:rPr>
              <w:t xml:space="preserve"> </w:t>
            </w:r>
          </w:p>
        </w:tc>
        <w:tc>
          <w:tcPr>
            <w:tcW w:w="4048"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widowControl/>
              <w:spacing w:line="200" w:lineRule="exact"/>
              <w:rPr>
                <w:rFonts w:ascii="宋体" w:hAnsi="宋体" w:eastAsia="宋体" w:cs="宋体"/>
                <w:color w:val="000000"/>
                <w:sz w:val="16"/>
                <w:szCs w:val="16"/>
              </w:rPr>
            </w:pPr>
          </w:p>
        </w:tc>
      </w:tr>
    </w:tbl>
    <w:p>
      <w:pPr>
        <w:widowControl/>
        <w:spacing w:line="600" w:lineRule="exact"/>
        <w:jc w:val="left"/>
        <w:rPr>
          <w:rFonts w:ascii="仿宋_GB2312" w:hAnsi="仿宋_GB2312" w:cs="仿宋_GB2312"/>
          <w:szCs w:val="32"/>
        </w:rPr>
        <w:sectPr>
          <w:pgSz w:w="16838" w:h="11906" w:orient="landscape"/>
          <w:pgMar w:top="1803" w:right="1440" w:bottom="1803" w:left="1440" w:header="851" w:footer="992" w:gutter="0"/>
          <w:cols w:space="0" w:num="1"/>
          <w:docGrid w:type="lines" w:linePitch="436" w:charSpace="0"/>
        </w:sectPr>
      </w:pPr>
    </w:p>
    <w:p>
      <w:pPr>
        <w:widowControl/>
        <w:spacing w:line="600" w:lineRule="exact"/>
        <w:jc w:val="left"/>
        <w:rPr>
          <w:rFonts w:ascii="仿宋_GB2312" w:hAnsi="仿宋_GB2312" w:cs="仿宋_GB2312"/>
          <w:szCs w:val="32"/>
        </w:rPr>
      </w:pPr>
      <w:r>
        <w:rPr>
          <w:rFonts w:hint="eastAsia" w:ascii="仿宋_GB2312" w:hAnsi="仿宋_GB2312" w:cs="仿宋_GB2312"/>
          <w:szCs w:val="32"/>
        </w:rPr>
        <w:t>附件2：承诺书</w:t>
      </w:r>
    </w:p>
    <w:p>
      <w:pPr>
        <w:widowControl/>
        <w:jc w:val="left"/>
        <w:rPr>
          <w:rFonts w:ascii="仿宋_GB2312" w:hAnsi="仿宋_GB2312" w:cs="仿宋_GB2312"/>
          <w:szCs w:val="32"/>
        </w:rPr>
      </w:pPr>
      <w:r>
        <w:rPr>
          <w:rFonts w:ascii="仿宋_GB2312" w:hAnsi="仿宋_GB2312" w:cs="仿宋_GB2312"/>
          <w:szCs w:val="32"/>
        </w:rPr>
        <w:drawing>
          <wp:inline distT="0" distB="0" distL="114300" distR="114300">
            <wp:extent cx="5260340" cy="7755890"/>
            <wp:effectExtent l="0" t="0" r="12700" b="1270"/>
            <wp:docPr id="1" name="图片 1" descr="承诺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承诺书"/>
                    <pic:cNvPicPr>
                      <a:picLocks noChangeAspect="1"/>
                    </pic:cNvPicPr>
                  </pic:nvPicPr>
                  <pic:blipFill>
                    <a:blip r:embed="rId9"/>
                    <a:stretch>
                      <a:fillRect/>
                    </a:stretch>
                  </pic:blipFill>
                  <pic:spPr>
                    <a:xfrm>
                      <a:off x="0" y="0"/>
                      <a:ext cx="5260340" cy="7755890"/>
                    </a:xfrm>
                    <a:prstGeom prst="rect">
                      <a:avLst/>
                    </a:prstGeom>
                  </pic:spPr>
                </pic:pic>
              </a:graphicData>
            </a:graphic>
          </wp:inline>
        </w:drawing>
      </w:r>
      <w:r>
        <w:rPr>
          <w:rFonts w:ascii="仿宋_GB2312" w:hAnsi="仿宋_GB2312" w:cs="仿宋_GB2312"/>
          <w:szCs w:val="32"/>
        </w:rPr>
        <w:br w:type="page"/>
      </w:r>
    </w:p>
    <w:p>
      <w:pPr>
        <w:widowControl/>
        <w:spacing w:line="600" w:lineRule="exact"/>
        <w:jc w:val="left"/>
        <w:rPr>
          <w:rFonts w:ascii="仿宋_GB2312" w:hAnsi="仿宋_GB2312" w:cs="仿宋_GB2312"/>
          <w:szCs w:val="32"/>
        </w:rPr>
      </w:pPr>
      <w:r>
        <w:rPr>
          <w:rFonts w:hint="eastAsia" w:ascii="仿宋_GB2312" w:hAnsi="仿宋_GB2312" w:cs="仿宋_GB2312"/>
          <w:szCs w:val="32"/>
        </w:rPr>
        <w:t>附件3：第三方绩效评价反馈</w:t>
      </w:r>
    </w:p>
    <w:p>
      <w:pPr>
        <w:rPr>
          <w:rFonts w:ascii="仿宋_GB2312"/>
          <w:color w:val="000000"/>
        </w:rPr>
      </w:pPr>
      <w:r>
        <w:rPr>
          <w:rFonts w:hint="eastAsia" w:ascii="仿宋_GB2312"/>
          <w:color w:val="000000"/>
        </w:rPr>
        <w:drawing>
          <wp:inline distT="0" distB="0" distL="114300" distR="114300">
            <wp:extent cx="4850765" cy="8198485"/>
            <wp:effectExtent l="0" t="0" r="10795" b="635"/>
            <wp:docPr id="2" name="图片 2" descr="反馈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反馈表"/>
                    <pic:cNvPicPr>
                      <a:picLocks noChangeAspect="1"/>
                    </pic:cNvPicPr>
                  </pic:nvPicPr>
                  <pic:blipFill>
                    <a:blip r:embed="rId10"/>
                    <a:srcRect l="233" t="9196" r="714" b="8845"/>
                    <a:stretch>
                      <a:fillRect/>
                    </a:stretch>
                  </pic:blipFill>
                  <pic:spPr>
                    <a:xfrm>
                      <a:off x="0" y="0"/>
                      <a:ext cx="4850765" cy="8198485"/>
                    </a:xfrm>
                    <a:prstGeom prst="rect">
                      <a:avLst/>
                    </a:prstGeom>
                  </pic:spPr>
                </pic:pic>
              </a:graphicData>
            </a:graphic>
          </wp:inline>
        </w:drawing>
      </w:r>
    </w:p>
    <w:sectPr>
      <w:pgSz w:w="11906" w:h="16838"/>
      <w:pgMar w:top="1440" w:right="1803" w:bottom="1440" w:left="1803" w:header="851" w:footer="992" w:gutter="0"/>
      <w:cols w:space="0" w:num="1"/>
      <w:docGrid w:type="linesAndChars" w:linePitch="436"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Administrator" w:date="2020-12-14T18:10:46Z" w:initials="A">
    <w:p w14:paraId="513E4C85">
      <w:pPr>
        <w:pStyle w:val="5"/>
        <w:rPr>
          <w:rFonts w:hint="eastAsia" w:ascii="宋体" w:hAnsi="宋体" w:eastAsia="宋体" w:cs="宋体"/>
          <w:color w:val="FF0000"/>
          <w:lang w:val="en-US" w:eastAsia="zh-CN"/>
        </w:rPr>
      </w:pPr>
      <w:r>
        <w:rPr>
          <w:rFonts w:hint="eastAsia" w:ascii="宋体" w:hAnsi="宋体" w:eastAsia="宋体" w:cs="宋体"/>
          <w:color w:val="FF0000"/>
          <w:lang w:val="en-US" w:eastAsia="zh-CN"/>
        </w:rPr>
        <w:t>遂宁高新区财政金融局</w:t>
      </w:r>
    </w:p>
  </w:comment>
  <w:comment w:id="1" w:author="Administrator" w:date="2020-12-14T18:11:40Z" w:initials="A">
    <w:p w14:paraId="6A156D69">
      <w:pPr>
        <w:pStyle w:val="5"/>
        <w:rPr>
          <w:rFonts w:hint="eastAsia" w:ascii="宋体" w:hAnsi="宋体" w:eastAsia="宋体" w:cs="宋体"/>
          <w:color w:val="FF0000"/>
          <w:lang w:val="en-US" w:eastAsia="zh-CN"/>
        </w:rPr>
      </w:pPr>
      <w:r>
        <w:rPr>
          <w:rFonts w:hint="eastAsia" w:ascii="宋体" w:hAnsi="宋体" w:eastAsia="宋体" w:cs="宋体"/>
          <w:color w:val="FF0000"/>
          <w:lang w:val="en-US" w:eastAsia="zh-CN"/>
        </w:rPr>
        <w:t>遂宁高新区科创经发局</w:t>
      </w:r>
    </w:p>
  </w:comment>
  <w:comment w:id="2" w:author="Administrator" w:date="2020-12-14T18:13:08Z" w:initials="A">
    <w:p w14:paraId="5C464FF8">
      <w:pPr>
        <w:pStyle w:val="5"/>
        <w:rPr>
          <w:rFonts w:hint="eastAsia" w:ascii="宋体" w:hAnsi="宋体" w:eastAsia="宋体" w:cs="宋体"/>
          <w:color w:val="FF0000"/>
          <w:lang w:val="en-US" w:eastAsia="zh-CN"/>
        </w:rPr>
      </w:pPr>
      <w:r>
        <w:rPr>
          <w:rFonts w:hint="eastAsia" w:ascii="宋体" w:hAnsi="宋体" w:eastAsia="宋体" w:cs="宋体"/>
          <w:color w:val="FF0000"/>
          <w:lang w:val="en-US" w:eastAsia="zh-CN"/>
        </w:rPr>
        <w:t>遂宁高新区科创经发局</w:t>
      </w:r>
    </w:p>
    <w:p w14:paraId="3004486A">
      <w:pPr>
        <w:pStyle w:val="5"/>
      </w:pPr>
    </w:p>
  </w:comment>
  <w:comment w:id="3" w:author="Administrator" w:date="2020-12-14T18:13:38Z" w:initials="A">
    <w:p w14:paraId="5E731796">
      <w:pPr>
        <w:pStyle w:val="5"/>
      </w:pPr>
      <w:r>
        <w:rPr>
          <w:rFonts w:hint="eastAsia" w:ascii="宋体" w:hAnsi="宋体" w:eastAsia="宋体" w:cs="宋体"/>
          <w:color w:val="FF0000"/>
          <w:lang w:val="en-US" w:eastAsia="zh-CN"/>
        </w:rPr>
        <w:t>遂宁高新区科创经发局</w:t>
      </w:r>
    </w:p>
  </w:comment>
  <w:comment w:id="4" w:author="Administrator" w:date="2020-12-14T18:13:55Z" w:initials="A">
    <w:p w14:paraId="73D9470E">
      <w:pPr>
        <w:pStyle w:val="5"/>
        <w:rPr>
          <w:rFonts w:hint="eastAsia" w:ascii="宋体" w:hAnsi="宋体" w:eastAsia="宋体" w:cs="宋体"/>
          <w:color w:val="FF0000"/>
          <w:lang w:val="en-US" w:eastAsia="zh-CN"/>
        </w:rPr>
      </w:pPr>
      <w:r>
        <w:rPr>
          <w:rFonts w:hint="eastAsia" w:ascii="宋体" w:hAnsi="宋体" w:eastAsia="宋体" w:cs="宋体"/>
          <w:color w:val="FF0000"/>
          <w:lang w:val="en-US" w:eastAsia="zh-CN"/>
        </w:rPr>
        <w:t>遂宁高新区科创经发局</w:t>
      </w:r>
    </w:p>
    <w:p w14:paraId="182F1F16">
      <w:pPr>
        <w:pStyle w:val="5"/>
      </w:pPr>
    </w:p>
  </w:comment>
  <w:comment w:id="5" w:author="Administrator" w:date="2020-12-14T18:15:26Z" w:initials="A">
    <w:p w14:paraId="59684D67">
      <w:pPr>
        <w:pStyle w:val="5"/>
        <w:rPr>
          <w:rFonts w:hint="eastAsia" w:ascii="宋体" w:hAnsi="宋体" w:eastAsia="宋体" w:cs="宋体"/>
          <w:color w:val="FF0000"/>
          <w:lang w:val="en-US" w:eastAsia="zh-CN"/>
        </w:rPr>
      </w:pPr>
      <w:r>
        <w:rPr>
          <w:rFonts w:hint="eastAsia" w:ascii="宋体" w:hAnsi="宋体" w:eastAsia="宋体" w:cs="宋体"/>
          <w:color w:val="FF0000"/>
          <w:lang w:val="en-US" w:eastAsia="zh-CN"/>
        </w:rPr>
        <w:t>遂宁高新区科创经发局</w:t>
      </w:r>
    </w:p>
    <w:p w14:paraId="2CF74AD4">
      <w:pPr>
        <w:pStyle w:val="5"/>
      </w:pPr>
    </w:p>
  </w:comment>
  <w:comment w:id="6" w:author="Administrator" w:date="2020-12-14T18:15:47Z" w:initials="A">
    <w:p w14:paraId="0A4A3F4A">
      <w:pPr>
        <w:pStyle w:val="5"/>
        <w:rPr>
          <w:rFonts w:hint="eastAsia" w:ascii="宋体" w:hAnsi="宋体" w:eastAsia="宋体" w:cs="宋体"/>
          <w:color w:val="FF0000"/>
          <w:lang w:val="en-US" w:eastAsia="zh-CN"/>
        </w:rPr>
      </w:pPr>
      <w:r>
        <w:rPr>
          <w:rFonts w:hint="eastAsia" w:ascii="宋体" w:hAnsi="宋体" w:eastAsia="宋体" w:cs="宋体"/>
          <w:color w:val="FF0000"/>
          <w:lang w:val="en-US" w:eastAsia="zh-CN"/>
        </w:rPr>
        <w:t>遂宁高新区科创经发局</w:t>
      </w:r>
    </w:p>
    <w:p w14:paraId="4E575ED0">
      <w:pPr>
        <w:pStyle w:val="5"/>
      </w:pPr>
    </w:p>
  </w:comment>
  <w:comment w:id="7" w:author="Administrator" w:date="2020-12-14T18:16:15Z" w:initials="A">
    <w:p w14:paraId="58764F68">
      <w:pPr>
        <w:pStyle w:val="5"/>
        <w:rPr>
          <w:rFonts w:hint="eastAsia" w:ascii="宋体" w:hAnsi="宋体" w:eastAsia="宋体" w:cs="宋体"/>
          <w:color w:val="FF0000"/>
          <w:lang w:val="en-US" w:eastAsia="zh-CN"/>
        </w:rPr>
      </w:pPr>
      <w:r>
        <w:rPr>
          <w:rFonts w:hint="eastAsia" w:ascii="宋体" w:hAnsi="宋体" w:eastAsia="宋体" w:cs="宋体"/>
          <w:color w:val="FF0000"/>
          <w:lang w:val="en-US" w:eastAsia="zh-CN"/>
        </w:rPr>
        <w:t>遂宁高新区科创经发局</w:t>
      </w:r>
    </w:p>
    <w:p w14:paraId="131666FA">
      <w:pPr>
        <w:pStyle w:val="5"/>
      </w:pPr>
    </w:p>
  </w:comment>
  <w:comment w:id="8" w:author="Administrator" w:date="2020-12-14T18:16:53Z" w:initials="A">
    <w:p w14:paraId="6F1149BB">
      <w:pPr>
        <w:pStyle w:val="5"/>
        <w:rPr>
          <w:rFonts w:hint="eastAsia" w:ascii="宋体" w:hAnsi="宋体" w:eastAsia="宋体" w:cs="宋体"/>
          <w:color w:val="FF0000"/>
          <w:lang w:val="en-US" w:eastAsia="zh-CN"/>
        </w:rPr>
      </w:pPr>
      <w:r>
        <w:rPr>
          <w:rFonts w:hint="eastAsia" w:ascii="宋体" w:hAnsi="宋体" w:eastAsia="宋体" w:cs="宋体"/>
          <w:color w:val="FF0000"/>
          <w:lang w:val="en-US" w:eastAsia="zh-CN"/>
        </w:rPr>
        <w:t>遂宁高新区科创经发局</w:t>
      </w:r>
    </w:p>
    <w:p w14:paraId="4EAE74AD">
      <w:pPr>
        <w:pStyle w:val="5"/>
      </w:pPr>
    </w:p>
  </w:comment>
  <w:comment w:id="9" w:author="Administrator" w:date="2020-12-14T18:17:05Z" w:initials="A">
    <w:p w14:paraId="05885D24">
      <w:pPr>
        <w:pStyle w:val="5"/>
        <w:rPr>
          <w:rFonts w:hint="eastAsia" w:ascii="宋体" w:hAnsi="宋体" w:eastAsia="宋体" w:cs="宋体"/>
          <w:color w:val="FF0000"/>
          <w:lang w:val="en-US" w:eastAsia="zh-CN"/>
        </w:rPr>
      </w:pPr>
      <w:r>
        <w:rPr>
          <w:rFonts w:hint="eastAsia" w:ascii="宋体" w:hAnsi="宋体" w:eastAsia="宋体" w:cs="宋体"/>
          <w:color w:val="FF0000"/>
          <w:lang w:val="en-US" w:eastAsia="zh-CN"/>
        </w:rPr>
        <w:t>遂宁高新区科创经发局</w:t>
      </w:r>
    </w:p>
    <w:p w14:paraId="7CFE5579">
      <w:pPr>
        <w:pStyle w:val="5"/>
      </w:pP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513E4C85" w15:done="0"/>
  <w15:commentEx w15:paraId="6A156D69" w15:done="0"/>
  <w15:commentEx w15:paraId="3004486A" w15:done="0"/>
  <w15:commentEx w15:paraId="5E731796" w15:done="0"/>
  <w15:commentEx w15:paraId="182F1F16" w15:done="0"/>
  <w15:commentEx w15:paraId="2CF74AD4" w15:done="0"/>
  <w15:commentEx w15:paraId="4E575ED0" w15:done="0"/>
  <w15:commentEx w15:paraId="131666FA" w15:done="0"/>
  <w15:commentEx w15:paraId="4EAE74AD" w15:done="0"/>
  <w15:commentEx w15:paraId="7CFE5579"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Calibri Light">
    <w:panose1 w:val="020F0302020204030204"/>
    <w:charset w:val="00"/>
    <w:family w:val="swiss"/>
    <w:pitch w:val="default"/>
    <w:sig w:usb0="E4002EFF" w:usb1="C000247B" w:usb2="00000009" w:usb3="00000000" w:csb0="200001FF" w:csb1="00000000"/>
  </w:font>
  <w:font w:name="..ì.">
    <w:altName w:val="微软雅黑"/>
    <w:panose1 w:val="00000000000000000000"/>
    <w:charset w:val="00"/>
    <w:family w:val="modern"/>
    <w:pitch w:val="default"/>
    <w:sig w:usb0="00000000" w:usb1="00000000" w:usb2="00000010" w:usb3="00000000" w:csb0="00040000" w:csb1="00000000"/>
  </w:font>
  <w:font w:name="楷体_GB2312">
    <w:altName w:val="楷体"/>
    <w:panose1 w:val="02010609030101010101"/>
    <w:charset w:val="86"/>
    <w:family w:val="modern"/>
    <w:pitch w:val="default"/>
    <w:sig w:usb0="00000000" w:usb1="00000000" w:usb2="00000010" w:usb3="00000000" w:csb0="00040000" w:csb1="00000000"/>
  </w:font>
  <w:font w:name="方正小标宋简体">
    <w:altName w:val="黑体"/>
    <w:panose1 w:val="00000000000000000000"/>
    <w:charset w:val="86"/>
    <w:family w:val="script"/>
    <w:pitch w:val="default"/>
    <w:sig w:usb0="00000000" w:usb1="00000000" w:usb2="00000010" w:usb3="00000000" w:csb0="00040000" w:csb1="00000000"/>
  </w:font>
  <w:font w:name="华文楷体">
    <w:altName w:val="宋体"/>
    <w:panose1 w:val="02010600040101010101"/>
    <w:charset w:val="86"/>
    <w:family w:val="auto"/>
    <w:pitch w:val="default"/>
    <w:sig w:usb0="00000000" w:usb1="00000000" w:usb2="00000010" w:usb3="00000000" w:csb0="0004009F"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38361948"/>
    </w:sdtPr>
    <w:sdtContent>
      <w:sdt>
        <w:sdtPr>
          <w:id w:val="1728636285"/>
        </w:sdtPr>
        <w:sdtContent>
          <w:p>
            <w:pPr>
              <w:pStyle w:val="8"/>
              <w:jc w:val="center"/>
            </w:pPr>
            <w:r>
              <w:rPr>
                <w:lang w:val="zh-CN"/>
              </w:rPr>
              <w:t xml:space="preserve"> </w:t>
            </w:r>
            <w:r>
              <w:rPr>
                <w:b/>
                <w:bCs/>
                <w:sz w:val="24"/>
              </w:rPr>
              <w:fldChar w:fldCharType="begin"/>
            </w:r>
            <w:r>
              <w:rPr>
                <w:b/>
                <w:bCs/>
              </w:rPr>
              <w:instrText xml:space="preserve">PAGE</w:instrText>
            </w:r>
            <w:r>
              <w:rPr>
                <w:b/>
                <w:bCs/>
                <w:sz w:val="24"/>
              </w:rPr>
              <w:fldChar w:fldCharType="separate"/>
            </w:r>
            <w:r>
              <w:rPr>
                <w:b/>
                <w:bCs/>
                <w:lang w:val="zh-CN"/>
              </w:rPr>
              <w:t>2</w:t>
            </w:r>
            <w:r>
              <w:rPr>
                <w:b/>
                <w:bCs/>
                <w:sz w:val="24"/>
              </w:rPr>
              <w:fldChar w:fldCharType="end"/>
            </w:r>
            <w:r>
              <w:rPr>
                <w:lang w:val="zh-CN"/>
              </w:rPr>
              <w:t xml:space="preserve"> / </w:t>
            </w:r>
            <w:r>
              <w:rPr>
                <w:b/>
                <w:bCs/>
                <w:sz w:val="24"/>
              </w:rPr>
              <w:fldChar w:fldCharType="begin"/>
            </w:r>
            <w:r>
              <w:rPr>
                <w:b/>
                <w:bCs/>
              </w:rPr>
              <w:instrText xml:space="preserve">NUMPAGES</w:instrText>
            </w:r>
            <w:r>
              <w:rPr>
                <w:b/>
                <w:bCs/>
                <w:sz w:val="24"/>
              </w:rPr>
              <w:fldChar w:fldCharType="separate"/>
            </w:r>
            <w:r>
              <w:rPr>
                <w:b/>
                <w:bCs/>
                <w:lang w:val="zh-CN"/>
              </w:rPr>
              <w:t>2</w:t>
            </w:r>
            <w:r>
              <w:rPr>
                <w:b/>
                <w:bCs/>
                <w:sz w:val="24"/>
              </w:rPr>
              <w:fldChar w:fldCharType="end"/>
            </w:r>
          </w:p>
        </w:sdtContent>
      </w:sdt>
    </w:sdtContent>
  </w:sdt>
  <w:p>
    <w:pPr>
      <w:pStyle w:val="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799869436"/>
    </w:sdtPr>
    <w:sdtContent>
      <w:sdt>
        <w:sdtPr>
          <w:id w:val="-75130606"/>
        </w:sdtPr>
        <w:sdtContent>
          <w:p>
            <w:pPr>
              <w:pStyle w:val="8"/>
              <w:jc w:val="center"/>
            </w:pPr>
            <w:r>
              <w:rPr>
                <w:lang w:val="zh-CN"/>
              </w:rPr>
              <w:t xml:space="preserve"> </w:t>
            </w:r>
            <w:r>
              <w:rPr>
                <w:b/>
                <w:bCs/>
                <w:sz w:val="24"/>
              </w:rPr>
              <w:fldChar w:fldCharType="begin"/>
            </w:r>
            <w:r>
              <w:rPr>
                <w:b/>
                <w:bCs/>
              </w:rPr>
              <w:instrText xml:space="preserve">PAGE</w:instrText>
            </w:r>
            <w:r>
              <w:rPr>
                <w:b/>
                <w:bCs/>
                <w:sz w:val="24"/>
              </w:rPr>
              <w:fldChar w:fldCharType="separate"/>
            </w:r>
            <w:r>
              <w:rPr>
                <w:b/>
                <w:bCs/>
                <w:lang w:val="zh-CN"/>
              </w:rPr>
              <w:t>2</w:t>
            </w:r>
            <w:r>
              <w:rPr>
                <w:b/>
                <w:bCs/>
                <w:sz w:val="24"/>
              </w:rPr>
              <w:fldChar w:fldCharType="end"/>
            </w:r>
            <w:r>
              <w:rPr>
                <w:lang w:val="zh-CN"/>
              </w:rPr>
              <w:t xml:space="preserve"> / </w:t>
            </w:r>
            <w:r>
              <w:rPr>
                <w:b/>
                <w:bCs/>
                <w:sz w:val="24"/>
              </w:rPr>
              <w:fldChar w:fldCharType="begin"/>
            </w:r>
            <w:r>
              <w:rPr>
                <w:b/>
                <w:bCs/>
              </w:rPr>
              <w:instrText xml:space="preserve">NUMPAGES</w:instrText>
            </w:r>
            <w:r>
              <w:rPr>
                <w:b/>
                <w:bCs/>
                <w:sz w:val="24"/>
              </w:rPr>
              <w:fldChar w:fldCharType="separate"/>
            </w:r>
            <w:r>
              <w:rPr>
                <w:b/>
                <w:bCs/>
                <w:lang w:val="zh-CN"/>
              </w:rPr>
              <w:t>2</w:t>
            </w:r>
            <w:r>
              <w:rPr>
                <w:b/>
                <w:bCs/>
                <w:sz w:val="24"/>
              </w:rPr>
              <w:fldChar w:fldCharType="end"/>
            </w:r>
          </w:p>
        </w:sdtContent>
      </w:sdt>
    </w:sdtContent>
  </w:sdt>
  <w:p>
    <w:pPr>
      <w:pStyle w:val="8"/>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4F437D7"/>
    <w:multiLevelType w:val="singleLevel"/>
    <w:tmpl w:val="B4F437D7"/>
    <w:lvl w:ilvl="0" w:tentative="0">
      <w:start w:val="3"/>
      <w:numFmt w:val="chineseCounting"/>
      <w:suff w:val="nothing"/>
      <w:lvlText w:val="（%1）"/>
      <w:lvlJc w:val="left"/>
      <w:rPr>
        <w:rFonts w:hint="eastAsia"/>
      </w:rPr>
    </w:lvl>
  </w:abstractNum>
  <w:abstractNum w:abstractNumId="1">
    <w:nsid w:val="DE7FDBB5"/>
    <w:multiLevelType w:val="singleLevel"/>
    <w:tmpl w:val="DE7FDBB5"/>
    <w:lvl w:ilvl="0" w:tentative="0">
      <w:start w:val="1"/>
      <w:numFmt w:val="decimal"/>
      <w:lvlText w:val="%1."/>
      <w:lvlJc w:val="left"/>
      <w:pPr>
        <w:ind w:left="425" w:hanging="425"/>
      </w:pPr>
      <w:rPr>
        <w:rFonts w:hint="default"/>
      </w:rPr>
    </w:lvl>
  </w:abstractNum>
  <w:abstractNum w:abstractNumId="2">
    <w:nsid w:val="154586E2"/>
    <w:multiLevelType w:val="singleLevel"/>
    <w:tmpl w:val="154586E2"/>
    <w:lvl w:ilvl="0" w:tentative="0">
      <w:start w:val="2"/>
      <w:numFmt w:val="chineseCounting"/>
      <w:suff w:val="nothing"/>
      <w:lvlText w:val="（%1）"/>
      <w:lvlJc w:val="left"/>
      <w:rPr>
        <w:rFonts w:hint="eastAsia"/>
      </w:rPr>
    </w:lvl>
  </w:abstractNum>
  <w:abstractNum w:abstractNumId="3">
    <w:nsid w:val="7CCC33C7"/>
    <w:multiLevelType w:val="singleLevel"/>
    <w:tmpl w:val="7CCC33C7"/>
    <w:lvl w:ilvl="0" w:tentative="0">
      <w:start w:val="2"/>
      <w:numFmt w:val="decimal"/>
      <w:suff w:val="space"/>
      <w:lvlText w:val="%1."/>
      <w:lvlJc w:val="left"/>
    </w:lvl>
  </w:abstractNum>
  <w:num w:numId="1">
    <w:abstractNumId w:val="0"/>
  </w:num>
  <w:num w:numId="2">
    <w:abstractNumId w:val="2"/>
  </w:num>
  <w:num w:numId="3">
    <w:abstractNumId w:val="1"/>
  </w:num>
  <w:num w:numId="4">
    <w:abstractNumId w:val="3"/>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Administrator">
    <w15:presenceInfo w15:providerId="None" w15:userId="Administrat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HorizontalSpacing w:val="160"/>
  <w:drawingGridVerticalSpacing w:val="218"/>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5E10"/>
    <w:rsid w:val="000749C8"/>
    <w:rsid w:val="000D200D"/>
    <w:rsid w:val="000E4487"/>
    <w:rsid w:val="00122033"/>
    <w:rsid w:val="0012676F"/>
    <w:rsid w:val="001331F6"/>
    <w:rsid w:val="00175706"/>
    <w:rsid w:val="0019382F"/>
    <w:rsid w:val="001B56C9"/>
    <w:rsid w:val="0028746A"/>
    <w:rsid w:val="002C500F"/>
    <w:rsid w:val="002D59B4"/>
    <w:rsid w:val="00351173"/>
    <w:rsid w:val="00366510"/>
    <w:rsid w:val="003C69E0"/>
    <w:rsid w:val="003F1E6F"/>
    <w:rsid w:val="003F23F2"/>
    <w:rsid w:val="004754FA"/>
    <w:rsid w:val="00493239"/>
    <w:rsid w:val="004D1B8A"/>
    <w:rsid w:val="00523977"/>
    <w:rsid w:val="005B41AA"/>
    <w:rsid w:val="00630E2A"/>
    <w:rsid w:val="00661108"/>
    <w:rsid w:val="00684DB3"/>
    <w:rsid w:val="0068681E"/>
    <w:rsid w:val="006C3C9E"/>
    <w:rsid w:val="00700699"/>
    <w:rsid w:val="00792AA8"/>
    <w:rsid w:val="00856F9D"/>
    <w:rsid w:val="008F4365"/>
    <w:rsid w:val="00902542"/>
    <w:rsid w:val="00992D07"/>
    <w:rsid w:val="00A074F8"/>
    <w:rsid w:val="00A5779B"/>
    <w:rsid w:val="00A62C75"/>
    <w:rsid w:val="00A757FA"/>
    <w:rsid w:val="00BF16F9"/>
    <w:rsid w:val="00C25E10"/>
    <w:rsid w:val="00C36446"/>
    <w:rsid w:val="00C90E79"/>
    <w:rsid w:val="00CA57EE"/>
    <w:rsid w:val="00CA69E1"/>
    <w:rsid w:val="00D472EB"/>
    <w:rsid w:val="00DA5155"/>
    <w:rsid w:val="00DE4D89"/>
    <w:rsid w:val="00E617DC"/>
    <w:rsid w:val="00E76E4B"/>
    <w:rsid w:val="00E83489"/>
    <w:rsid w:val="00EA3DB2"/>
    <w:rsid w:val="00EB5D47"/>
    <w:rsid w:val="00EE5FE9"/>
    <w:rsid w:val="00F16700"/>
    <w:rsid w:val="00F3428F"/>
    <w:rsid w:val="00F34497"/>
    <w:rsid w:val="00F91E40"/>
    <w:rsid w:val="00FE3978"/>
    <w:rsid w:val="00FF43FA"/>
    <w:rsid w:val="00FF4CAD"/>
    <w:rsid w:val="019F0033"/>
    <w:rsid w:val="027A4140"/>
    <w:rsid w:val="02A9416E"/>
    <w:rsid w:val="031E66F2"/>
    <w:rsid w:val="044E626F"/>
    <w:rsid w:val="047C5DB3"/>
    <w:rsid w:val="05880B5E"/>
    <w:rsid w:val="065D13A7"/>
    <w:rsid w:val="06ED34A0"/>
    <w:rsid w:val="080D47A8"/>
    <w:rsid w:val="08862E34"/>
    <w:rsid w:val="0A157B24"/>
    <w:rsid w:val="0BC70BEB"/>
    <w:rsid w:val="0C9B6778"/>
    <w:rsid w:val="0CB116F5"/>
    <w:rsid w:val="0CBA4699"/>
    <w:rsid w:val="0DE04916"/>
    <w:rsid w:val="0E037450"/>
    <w:rsid w:val="0F163462"/>
    <w:rsid w:val="113B28A7"/>
    <w:rsid w:val="138701F2"/>
    <w:rsid w:val="147B33A8"/>
    <w:rsid w:val="16D43DAB"/>
    <w:rsid w:val="181D04BA"/>
    <w:rsid w:val="18407DC3"/>
    <w:rsid w:val="1A8070DB"/>
    <w:rsid w:val="1B886D2A"/>
    <w:rsid w:val="1BD0541E"/>
    <w:rsid w:val="1CCA5879"/>
    <w:rsid w:val="1DBB6740"/>
    <w:rsid w:val="1E6218B5"/>
    <w:rsid w:val="1F31485B"/>
    <w:rsid w:val="200133E3"/>
    <w:rsid w:val="202E15B9"/>
    <w:rsid w:val="206E2F9A"/>
    <w:rsid w:val="220A1777"/>
    <w:rsid w:val="226114B5"/>
    <w:rsid w:val="22674293"/>
    <w:rsid w:val="23BE2811"/>
    <w:rsid w:val="23E8271E"/>
    <w:rsid w:val="24B35312"/>
    <w:rsid w:val="26762350"/>
    <w:rsid w:val="26BF5249"/>
    <w:rsid w:val="280F3C2A"/>
    <w:rsid w:val="29E858B6"/>
    <w:rsid w:val="29F0147F"/>
    <w:rsid w:val="2AAA2D75"/>
    <w:rsid w:val="2BDD36F3"/>
    <w:rsid w:val="2C0B6C0B"/>
    <w:rsid w:val="2DA8195E"/>
    <w:rsid w:val="2DC40801"/>
    <w:rsid w:val="2EF53D39"/>
    <w:rsid w:val="2FFE6A53"/>
    <w:rsid w:val="31CB4C47"/>
    <w:rsid w:val="32220618"/>
    <w:rsid w:val="326F4B84"/>
    <w:rsid w:val="35E41B74"/>
    <w:rsid w:val="37D5454C"/>
    <w:rsid w:val="38D52401"/>
    <w:rsid w:val="39D850FD"/>
    <w:rsid w:val="3AB07EDB"/>
    <w:rsid w:val="3B286E32"/>
    <w:rsid w:val="3BBF5624"/>
    <w:rsid w:val="3C311862"/>
    <w:rsid w:val="3C7F4E81"/>
    <w:rsid w:val="3CA43964"/>
    <w:rsid w:val="3D0C74BE"/>
    <w:rsid w:val="3DD35EB6"/>
    <w:rsid w:val="3E722BC4"/>
    <w:rsid w:val="3F857DD0"/>
    <w:rsid w:val="3F9E78F6"/>
    <w:rsid w:val="3FF5635E"/>
    <w:rsid w:val="40E95381"/>
    <w:rsid w:val="42F825EE"/>
    <w:rsid w:val="430E4429"/>
    <w:rsid w:val="43E54FDB"/>
    <w:rsid w:val="44152D90"/>
    <w:rsid w:val="448E5A9A"/>
    <w:rsid w:val="45FF3F16"/>
    <w:rsid w:val="4629616A"/>
    <w:rsid w:val="46EB6D16"/>
    <w:rsid w:val="47E80175"/>
    <w:rsid w:val="48092C5E"/>
    <w:rsid w:val="487C17B9"/>
    <w:rsid w:val="48B36BF2"/>
    <w:rsid w:val="4AFA1FA6"/>
    <w:rsid w:val="4B2F4E36"/>
    <w:rsid w:val="4B303BB4"/>
    <w:rsid w:val="4B7E5C90"/>
    <w:rsid w:val="4BA836EA"/>
    <w:rsid w:val="4C1D183D"/>
    <w:rsid w:val="4CD62901"/>
    <w:rsid w:val="4D290BC6"/>
    <w:rsid w:val="4F9D033A"/>
    <w:rsid w:val="51755267"/>
    <w:rsid w:val="51CC624C"/>
    <w:rsid w:val="530F17F2"/>
    <w:rsid w:val="53CA1FBC"/>
    <w:rsid w:val="54073F5D"/>
    <w:rsid w:val="549F5A5E"/>
    <w:rsid w:val="56251EF6"/>
    <w:rsid w:val="56724BFE"/>
    <w:rsid w:val="56FC5A5C"/>
    <w:rsid w:val="57134F51"/>
    <w:rsid w:val="580E0D75"/>
    <w:rsid w:val="587E5A9D"/>
    <w:rsid w:val="590A5AFB"/>
    <w:rsid w:val="5919450E"/>
    <w:rsid w:val="59E5324B"/>
    <w:rsid w:val="59EF79B3"/>
    <w:rsid w:val="5A007130"/>
    <w:rsid w:val="5BAD5235"/>
    <w:rsid w:val="5CBD5E56"/>
    <w:rsid w:val="5D76672B"/>
    <w:rsid w:val="604B1CD3"/>
    <w:rsid w:val="60D0112B"/>
    <w:rsid w:val="624E340F"/>
    <w:rsid w:val="63D3074B"/>
    <w:rsid w:val="67B769CE"/>
    <w:rsid w:val="68E24388"/>
    <w:rsid w:val="69582C4E"/>
    <w:rsid w:val="69C539C9"/>
    <w:rsid w:val="6A313CE3"/>
    <w:rsid w:val="6A577FBE"/>
    <w:rsid w:val="6BA00AAD"/>
    <w:rsid w:val="6BDC0102"/>
    <w:rsid w:val="6D7410D5"/>
    <w:rsid w:val="6DE602E2"/>
    <w:rsid w:val="6E8C7878"/>
    <w:rsid w:val="6ECF0C7A"/>
    <w:rsid w:val="6FE519E1"/>
    <w:rsid w:val="70564FE0"/>
    <w:rsid w:val="71AB33C2"/>
    <w:rsid w:val="73B27AEC"/>
    <w:rsid w:val="74EF79C9"/>
    <w:rsid w:val="75AF2EB7"/>
    <w:rsid w:val="77282F01"/>
    <w:rsid w:val="77E75EA5"/>
    <w:rsid w:val="78177086"/>
    <w:rsid w:val="785B654A"/>
    <w:rsid w:val="79C06A55"/>
    <w:rsid w:val="7A62305D"/>
    <w:rsid w:val="7AFF44D3"/>
    <w:rsid w:val="7BAE7827"/>
    <w:rsid w:val="7C026F57"/>
    <w:rsid w:val="7DE646BB"/>
    <w:rsid w:val="7E75060F"/>
    <w:rsid w:val="7E9D2AF7"/>
    <w:rsid w:val="7EC12113"/>
    <w:rsid w:val="7FB94D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qFormat="1" w:uiPriority="39" w:semiHidden="0" w:name="toc 2"/>
    <w:lsdException w:qFormat="1"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仿宋_GB2312" w:cs="Times New Roman"/>
      <w:kern w:val="2"/>
      <w:sz w:val="32"/>
      <w:szCs w:val="24"/>
      <w:lang w:val="en-US" w:eastAsia="zh-CN" w:bidi="ar-SA"/>
    </w:rPr>
  </w:style>
  <w:style w:type="paragraph" w:styleId="2">
    <w:name w:val="heading 1"/>
    <w:basedOn w:val="1"/>
    <w:next w:val="1"/>
    <w:link w:val="17"/>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unhideWhenUsed/>
    <w:qFormat/>
    <w:uiPriority w:val="0"/>
    <w:pPr>
      <w:keepNext/>
      <w:keepLines/>
      <w:spacing w:before="260" w:after="260" w:line="416" w:lineRule="auto"/>
      <w:outlineLvl w:val="1"/>
    </w:pPr>
    <w:rPr>
      <w:rFonts w:asciiTheme="majorHAnsi" w:hAnsiTheme="majorHAnsi" w:eastAsiaTheme="majorEastAsia" w:cstheme="majorBidi"/>
      <w:b/>
      <w:bCs/>
      <w:szCs w:val="32"/>
    </w:rPr>
  </w:style>
  <w:style w:type="paragraph" w:styleId="4">
    <w:name w:val="heading 3"/>
    <w:basedOn w:val="1"/>
    <w:next w:val="1"/>
    <w:link w:val="19"/>
    <w:unhideWhenUsed/>
    <w:qFormat/>
    <w:uiPriority w:val="0"/>
    <w:pPr>
      <w:keepNext/>
      <w:keepLines/>
      <w:spacing w:before="260" w:after="260" w:line="416" w:lineRule="auto"/>
      <w:outlineLvl w:val="2"/>
    </w:pPr>
    <w:rPr>
      <w:b/>
      <w:bCs/>
      <w:szCs w:val="32"/>
    </w:rPr>
  </w:style>
  <w:style w:type="character" w:default="1" w:styleId="14">
    <w:name w:val="Default Paragraph Font"/>
    <w:semiHidden/>
    <w:unhideWhenUsed/>
    <w:uiPriority w:val="1"/>
  </w:style>
  <w:style w:type="table" w:default="1" w:styleId="13">
    <w:name w:val="Normal Table"/>
    <w:semiHidden/>
    <w:unhideWhenUsed/>
    <w:uiPriority w:val="99"/>
    <w:tblPr>
      <w:tblCellMar>
        <w:top w:w="0" w:type="dxa"/>
        <w:left w:w="108" w:type="dxa"/>
        <w:bottom w:w="0" w:type="dxa"/>
        <w:right w:w="108" w:type="dxa"/>
      </w:tblCellMar>
    </w:tblPr>
  </w:style>
  <w:style w:type="paragraph" w:styleId="5">
    <w:name w:val="annotation text"/>
    <w:basedOn w:val="1"/>
    <w:link w:val="28"/>
    <w:qFormat/>
    <w:uiPriority w:val="0"/>
    <w:pPr>
      <w:jc w:val="left"/>
    </w:pPr>
  </w:style>
  <w:style w:type="paragraph" w:styleId="6">
    <w:name w:val="toc 3"/>
    <w:basedOn w:val="1"/>
    <w:next w:val="1"/>
    <w:unhideWhenUsed/>
    <w:qFormat/>
    <w:uiPriority w:val="39"/>
    <w:pPr>
      <w:widowControl/>
      <w:spacing w:after="100" w:line="259" w:lineRule="auto"/>
      <w:ind w:left="440"/>
      <w:jc w:val="left"/>
    </w:pPr>
    <w:rPr>
      <w:rFonts w:asciiTheme="minorHAnsi" w:hAnsiTheme="minorHAnsi" w:eastAsiaTheme="minorEastAsia"/>
      <w:kern w:val="0"/>
      <w:sz w:val="22"/>
      <w:szCs w:val="22"/>
    </w:rPr>
  </w:style>
  <w:style w:type="paragraph" w:styleId="7">
    <w:name w:val="Balloon Text"/>
    <w:basedOn w:val="1"/>
    <w:link w:val="30"/>
    <w:qFormat/>
    <w:uiPriority w:val="0"/>
    <w:rPr>
      <w:sz w:val="18"/>
      <w:szCs w:val="18"/>
    </w:rPr>
  </w:style>
  <w:style w:type="paragraph" w:styleId="8">
    <w:name w:val="footer"/>
    <w:basedOn w:val="1"/>
    <w:link w:val="24"/>
    <w:qFormat/>
    <w:uiPriority w:val="99"/>
    <w:pPr>
      <w:tabs>
        <w:tab w:val="center" w:pos="4153"/>
        <w:tab w:val="right" w:pos="8306"/>
      </w:tabs>
      <w:snapToGrid w:val="0"/>
      <w:jc w:val="left"/>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0">
    <w:name w:val="toc 1"/>
    <w:basedOn w:val="1"/>
    <w:next w:val="1"/>
    <w:unhideWhenUsed/>
    <w:qFormat/>
    <w:uiPriority w:val="39"/>
    <w:pPr>
      <w:widowControl/>
      <w:spacing w:after="100" w:line="259" w:lineRule="auto"/>
      <w:jc w:val="left"/>
    </w:pPr>
    <w:rPr>
      <w:rFonts w:asciiTheme="minorHAnsi" w:hAnsiTheme="minorHAnsi" w:eastAsiaTheme="minorEastAsia"/>
      <w:kern w:val="0"/>
      <w:sz w:val="22"/>
      <w:szCs w:val="22"/>
    </w:rPr>
  </w:style>
  <w:style w:type="paragraph" w:styleId="11">
    <w:name w:val="toc 2"/>
    <w:basedOn w:val="1"/>
    <w:next w:val="1"/>
    <w:unhideWhenUsed/>
    <w:qFormat/>
    <w:uiPriority w:val="39"/>
    <w:pPr>
      <w:widowControl/>
      <w:spacing w:after="100" w:line="259" w:lineRule="auto"/>
      <w:ind w:left="220"/>
      <w:jc w:val="left"/>
    </w:pPr>
    <w:rPr>
      <w:rFonts w:asciiTheme="minorHAnsi" w:hAnsiTheme="minorHAnsi" w:eastAsiaTheme="minorEastAsia"/>
      <w:kern w:val="0"/>
      <w:sz w:val="22"/>
      <w:szCs w:val="22"/>
    </w:rPr>
  </w:style>
  <w:style w:type="paragraph" w:styleId="12">
    <w:name w:val="annotation subject"/>
    <w:basedOn w:val="5"/>
    <w:next w:val="5"/>
    <w:link w:val="29"/>
    <w:qFormat/>
    <w:uiPriority w:val="0"/>
    <w:rPr>
      <w:b/>
      <w:bCs/>
    </w:rPr>
  </w:style>
  <w:style w:type="character" w:styleId="15">
    <w:name w:val="Hyperlink"/>
    <w:basedOn w:val="14"/>
    <w:unhideWhenUsed/>
    <w:qFormat/>
    <w:uiPriority w:val="99"/>
    <w:rPr>
      <w:color w:val="0563C1" w:themeColor="hyperlink"/>
      <w:u w:val="single"/>
      <w14:textFill>
        <w14:solidFill>
          <w14:schemeClr w14:val="hlink"/>
        </w14:solidFill>
      </w14:textFill>
    </w:rPr>
  </w:style>
  <w:style w:type="character" w:styleId="16">
    <w:name w:val="annotation reference"/>
    <w:basedOn w:val="14"/>
    <w:qFormat/>
    <w:uiPriority w:val="0"/>
    <w:rPr>
      <w:sz w:val="21"/>
      <w:szCs w:val="21"/>
    </w:rPr>
  </w:style>
  <w:style w:type="character" w:customStyle="1" w:styleId="17">
    <w:name w:val="标题 1 字符"/>
    <w:basedOn w:val="14"/>
    <w:link w:val="2"/>
    <w:qFormat/>
    <w:uiPriority w:val="0"/>
    <w:rPr>
      <w:rFonts w:ascii="Calibri" w:hAnsi="Calibri" w:eastAsia="仿宋_GB2312"/>
      <w:b/>
      <w:bCs/>
      <w:kern w:val="44"/>
      <w:sz w:val="44"/>
      <w:szCs w:val="44"/>
    </w:rPr>
  </w:style>
  <w:style w:type="character" w:customStyle="1" w:styleId="18">
    <w:name w:val="标题 2 字符"/>
    <w:basedOn w:val="14"/>
    <w:link w:val="3"/>
    <w:qFormat/>
    <w:uiPriority w:val="0"/>
    <w:rPr>
      <w:rFonts w:asciiTheme="majorHAnsi" w:hAnsiTheme="majorHAnsi" w:eastAsiaTheme="majorEastAsia" w:cstheme="majorBidi"/>
      <w:b/>
      <w:bCs/>
      <w:kern w:val="2"/>
      <w:sz w:val="32"/>
      <w:szCs w:val="32"/>
    </w:rPr>
  </w:style>
  <w:style w:type="character" w:customStyle="1" w:styleId="19">
    <w:name w:val="标题 3 字符"/>
    <w:basedOn w:val="14"/>
    <w:link w:val="4"/>
    <w:qFormat/>
    <w:uiPriority w:val="0"/>
    <w:rPr>
      <w:rFonts w:ascii="Calibri" w:hAnsi="Calibri" w:eastAsia="仿宋_GB2312"/>
      <w:b/>
      <w:bCs/>
      <w:kern w:val="2"/>
      <w:sz w:val="32"/>
      <w:szCs w:val="32"/>
    </w:rPr>
  </w:style>
  <w:style w:type="paragraph" w:customStyle="1" w:styleId="20">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 w:type="paragraph" w:customStyle="1" w:styleId="21">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22">
    <w:name w:val="闻政正文"/>
    <w:basedOn w:val="1"/>
    <w:qFormat/>
    <w:uiPriority w:val="0"/>
    <w:pPr>
      <w:spacing w:line="500" w:lineRule="exact"/>
      <w:ind w:firstLine="560" w:firstLineChars="200"/>
    </w:pPr>
    <w:rPr>
      <w:kern w:val="0"/>
      <w:szCs w:val="28"/>
    </w:rPr>
  </w:style>
  <w:style w:type="paragraph" w:styleId="23">
    <w:name w:val="List Paragraph"/>
    <w:basedOn w:val="1"/>
    <w:qFormat/>
    <w:uiPriority w:val="99"/>
    <w:pPr>
      <w:ind w:firstLine="420" w:firstLineChars="200"/>
    </w:pPr>
  </w:style>
  <w:style w:type="character" w:customStyle="1" w:styleId="24">
    <w:name w:val="页脚 字符"/>
    <w:basedOn w:val="14"/>
    <w:link w:val="8"/>
    <w:qFormat/>
    <w:uiPriority w:val="99"/>
    <w:rPr>
      <w:rFonts w:ascii="Calibri" w:hAnsi="Calibri" w:eastAsia="仿宋_GB2312"/>
      <w:kern w:val="2"/>
      <w:sz w:val="18"/>
      <w:szCs w:val="24"/>
    </w:rPr>
  </w:style>
  <w:style w:type="paragraph" w:customStyle="1" w:styleId="25">
    <w:name w:val="Default"/>
    <w:qFormat/>
    <w:uiPriority w:val="0"/>
    <w:pPr>
      <w:widowControl w:val="0"/>
      <w:autoSpaceDE w:val="0"/>
      <w:autoSpaceDN w:val="0"/>
      <w:adjustRightInd w:val="0"/>
    </w:pPr>
    <w:rPr>
      <w:rFonts w:ascii="..ì." w:hAnsi="..ì." w:eastAsia="..ì." w:cs="..ì."/>
      <w:color w:val="000000"/>
      <w:sz w:val="24"/>
      <w:szCs w:val="24"/>
      <w:lang w:val="en-US" w:eastAsia="zh-CN" w:bidi="ar-SA"/>
    </w:rPr>
  </w:style>
  <w:style w:type="character" w:customStyle="1" w:styleId="26">
    <w:name w:val="font01"/>
    <w:basedOn w:val="14"/>
    <w:qFormat/>
    <w:uiPriority w:val="0"/>
    <w:rPr>
      <w:rFonts w:hint="eastAsia" w:ascii="宋体" w:hAnsi="宋体" w:eastAsia="宋体" w:cs="宋体"/>
      <w:color w:val="000000"/>
      <w:sz w:val="16"/>
      <w:szCs w:val="16"/>
      <w:u w:val="none"/>
    </w:rPr>
  </w:style>
  <w:style w:type="character" w:customStyle="1" w:styleId="27">
    <w:name w:val="font11"/>
    <w:basedOn w:val="14"/>
    <w:qFormat/>
    <w:uiPriority w:val="0"/>
    <w:rPr>
      <w:rFonts w:hint="eastAsia" w:ascii="宋体" w:hAnsi="宋体" w:eastAsia="宋体" w:cs="宋体"/>
      <w:color w:val="000000"/>
      <w:sz w:val="16"/>
      <w:szCs w:val="16"/>
      <w:u w:val="none"/>
    </w:rPr>
  </w:style>
  <w:style w:type="character" w:customStyle="1" w:styleId="28">
    <w:name w:val="批注文字 字符"/>
    <w:basedOn w:val="14"/>
    <w:link w:val="5"/>
    <w:qFormat/>
    <w:uiPriority w:val="0"/>
    <w:rPr>
      <w:rFonts w:ascii="Calibri" w:hAnsi="Calibri" w:eastAsia="仿宋_GB2312"/>
      <w:kern w:val="2"/>
      <w:sz w:val="32"/>
      <w:szCs w:val="24"/>
    </w:rPr>
  </w:style>
  <w:style w:type="character" w:customStyle="1" w:styleId="29">
    <w:name w:val="批注主题 字符"/>
    <w:basedOn w:val="28"/>
    <w:link w:val="12"/>
    <w:qFormat/>
    <w:uiPriority w:val="0"/>
    <w:rPr>
      <w:rFonts w:ascii="Calibri" w:hAnsi="Calibri" w:eastAsia="仿宋_GB2312"/>
      <w:b/>
      <w:bCs/>
      <w:kern w:val="2"/>
      <w:sz w:val="32"/>
      <w:szCs w:val="24"/>
    </w:rPr>
  </w:style>
  <w:style w:type="character" w:customStyle="1" w:styleId="30">
    <w:name w:val="批注框文本 字符"/>
    <w:basedOn w:val="14"/>
    <w:link w:val="7"/>
    <w:qFormat/>
    <w:uiPriority w:val="0"/>
    <w:rPr>
      <w:rFonts w:ascii="Calibri" w:hAnsi="Calibri" w:eastAsia="仿宋_GB2312"/>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microsoft.com/office/2011/relationships/commentsExtended" Target="commentsExtended.xml"/><Relationship Id="rId3" Type="http://schemas.openxmlformats.org/officeDocument/2006/relationships/comments" Target="comments.xml"/><Relationship Id="rId2" Type="http://schemas.openxmlformats.org/officeDocument/2006/relationships/settings" Target="settings.xml"/><Relationship Id="rId15" Type="http://schemas.microsoft.com/office/2011/relationships/people" Target="people.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0BA6DF2-4BEC-48A9-A179-3924D22ACF02}">
  <ds:schemaRefs/>
</ds:datastoreItem>
</file>

<file path=docProps/app.xml><?xml version="1.0" encoding="utf-8"?>
<Properties xmlns="http://schemas.openxmlformats.org/officeDocument/2006/extended-properties" xmlns:vt="http://schemas.openxmlformats.org/officeDocument/2006/docPropsVTypes">
  <Template>Normal.dotm</Template>
  <Pages>21</Pages>
  <Words>1706</Words>
  <Characters>9728</Characters>
  <Lines>81</Lines>
  <Paragraphs>22</Paragraphs>
  <TotalTime>1</TotalTime>
  <ScaleCrop>false</ScaleCrop>
  <LinksUpToDate>false</LinksUpToDate>
  <CharactersWithSpaces>11412</CharactersWithSpaces>
  <Application>WPS Office_11.1.0.10228_F1E327BC-269C-435d-A152-05C5408002CA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2020-10-30T15:05:00Z</dcterms:created>
  <dc:creator>xiaoqinghua</dc:creator>
  <cp:lastModifiedBy>Administrator</cp:lastModifiedBy>
  <dcterms:modified xsi:type="dcterms:W3CDTF">2020-12-14T10:17:54Z</dcterms:modified>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ies>
</file>